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DA46" w14:textId="1DA4CECF" w:rsidR="00A81C77" w:rsidRDefault="00A81C77" w:rsidP="00A81C77">
      <w:pPr>
        <w:spacing w:after="480"/>
      </w:pPr>
      <w:r>
        <w:rPr>
          <w:noProof/>
        </w:rPr>
        <w:drawing>
          <wp:inline distT="0" distB="0" distL="0" distR="0" wp14:anchorId="7DD3DA48" wp14:editId="4369F3BE">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6"/>
        <w:gridCol w:w="4913"/>
      </w:tblGrid>
      <w:tr w:rsidR="00A81C77" w14:paraId="083B01A3" w14:textId="77777777">
        <w:trPr>
          <w:tblHeader/>
        </w:trPr>
        <w:tc>
          <w:tcPr>
            <w:tcW w:w="3456" w:type="dxa"/>
            <w:tcBorders>
              <w:bottom w:val="single" w:sz="18" w:space="0" w:color="auto"/>
            </w:tcBorders>
          </w:tcPr>
          <w:p w14:paraId="51A772F0" w14:textId="77777777" w:rsidR="00A81C77" w:rsidRPr="00B805DB" w:rsidRDefault="00A81C77">
            <w:pPr>
              <w:pStyle w:val="Heading1"/>
              <w:spacing w:after="240"/>
              <w:outlineLvl w:val="0"/>
            </w:pPr>
            <w:r>
              <w:t>Report f</w:t>
            </w:r>
            <w:r w:rsidRPr="00C869F3">
              <w:t>or:</w:t>
            </w:r>
          </w:p>
        </w:tc>
        <w:tc>
          <w:tcPr>
            <w:tcW w:w="5054" w:type="dxa"/>
            <w:tcBorders>
              <w:bottom w:val="single" w:sz="18" w:space="0" w:color="auto"/>
            </w:tcBorders>
          </w:tcPr>
          <w:p w14:paraId="1FF15448" w14:textId="77777777" w:rsidR="00A81C77" w:rsidRPr="005E3A10" w:rsidRDefault="00A81C77">
            <w:pPr>
              <w:pStyle w:val="Heading1"/>
              <w:outlineLvl w:val="0"/>
              <w:rPr>
                <w:szCs w:val="24"/>
              </w:rPr>
            </w:pPr>
            <w:r w:rsidRPr="005E3A10">
              <w:t>Cabinet</w:t>
            </w:r>
          </w:p>
        </w:tc>
      </w:tr>
      <w:tr w:rsidR="00A81C77" w14:paraId="0920D3C5" w14:textId="77777777">
        <w:tc>
          <w:tcPr>
            <w:tcW w:w="3456" w:type="dxa"/>
            <w:tcBorders>
              <w:top w:val="single" w:sz="18" w:space="0" w:color="auto"/>
            </w:tcBorders>
          </w:tcPr>
          <w:p w14:paraId="5ABA7586" w14:textId="77777777" w:rsidR="00A81C77" w:rsidRPr="00C13A5F" w:rsidRDefault="00A81C7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E3B6F12" w14:textId="68762973" w:rsidR="00A81C77" w:rsidRPr="005E3A10" w:rsidRDefault="00D95809">
            <w:pPr>
              <w:rPr>
                <w:rFonts w:cs="Arial"/>
              </w:rPr>
            </w:pPr>
            <w:r w:rsidRPr="2FBF4A00">
              <w:rPr>
                <w:rFonts w:cs="Arial"/>
              </w:rPr>
              <w:t>2</w:t>
            </w:r>
            <w:r w:rsidR="00CE3FEB" w:rsidRPr="2FBF4A00">
              <w:rPr>
                <w:rFonts w:cs="Arial"/>
              </w:rPr>
              <w:t>7</w:t>
            </w:r>
            <w:r w:rsidRPr="2FBF4A00">
              <w:rPr>
                <w:rFonts w:cs="Arial"/>
              </w:rPr>
              <w:t xml:space="preserve"> July 2023</w:t>
            </w:r>
          </w:p>
        </w:tc>
      </w:tr>
      <w:tr w:rsidR="00A81C77" w14:paraId="5C13D111" w14:textId="77777777">
        <w:tc>
          <w:tcPr>
            <w:tcW w:w="3456" w:type="dxa"/>
          </w:tcPr>
          <w:p w14:paraId="4B68D1F5" w14:textId="77777777" w:rsidR="00A81C77" w:rsidRPr="00C13A5F" w:rsidRDefault="00A81C77">
            <w:pPr>
              <w:pStyle w:val="Infotext"/>
              <w:spacing w:after="240"/>
              <w:rPr>
                <w:rFonts w:ascii="Arial Black" w:hAnsi="Arial Black"/>
              </w:rPr>
            </w:pPr>
            <w:r w:rsidRPr="00C13A5F">
              <w:rPr>
                <w:rFonts w:ascii="Arial Black" w:hAnsi="Arial Black" w:cs="Arial"/>
              </w:rPr>
              <w:t>Subject:</w:t>
            </w:r>
          </w:p>
        </w:tc>
        <w:tc>
          <w:tcPr>
            <w:tcW w:w="5054" w:type="dxa"/>
          </w:tcPr>
          <w:p w14:paraId="055D1282" w14:textId="50E3C9A3" w:rsidR="007E4E82" w:rsidRPr="00003F1F" w:rsidRDefault="007E4E82" w:rsidP="007E4E82">
            <w:r w:rsidRPr="00F3650D">
              <w:t>Electric Vehicle Charging in Harrow</w:t>
            </w:r>
            <w:r>
              <w:t>: Update and Implementation</w:t>
            </w:r>
            <w:r w:rsidR="00C95FB2">
              <w:t xml:space="preserve"> </w:t>
            </w:r>
          </w:p>
          <w:p w14:paraId="0F4B6FFC" w14:textId="77777777" w:rsidR="00A81C77" w:rsidRPr="005E3A10" w:rsidRDefault="00A81C77">
            <w:pPr>
              <w:rPr>
                <w:rFonts w:cs="Arial"/>
                <w:szCs w:val="24"/>
              </w:rPr>
            </w:pPr>
          </w:p>
        </w:tc>
      </w:tr>
      <w:tr w:rsidR="00A81C77" w14:paraId="1249F00B" w14:textId="77777777">
        <w:tc>
          <w:tcPr>
            <w:tcW w:w="3456" w:type="dxa"/>
          </w:tcPr>
          <w:p w14:paraId="7F484DB1" w14:textId="77777777" w:rsidR="00A81C77" w:rsidRPr="00C13A5F" w:rsidRDefault="00A81C77">
            <w:pPr>
              <w:pStyle w:val="Infotext"/>
              <w:spacing w:after="240"/>
              <w:rPr>
                <w:rFonts w:ascii="Arial Black" w:hAnsi="Arial Black" w:cs="Arial"/>
              </w:rPr>
            </w:pPr>
            <w:r w:rsidRPr="00C13A5F">
              <w:rPr>
                <w:rFonts w:ascii="Arial Black" w:hAnsi="Arial Black" w:cs="Arial"/>
              </w:rPr>
              <w:t>Key Decision:</w:t>
            </w:r>
          </w:p>
        </w:tc>
        <w:tc>
          <w:tcPr>
            <w:tcW w:w="5054" w:type="dxa"/>
          </w:tcPr>
          <w:p w14:paraId="7DF15FA7" w14:textId="3BB66C35" w:rsidR="00A81C77" w:rsidRPr="005E3A10" w:rsidRDefault="00A81C77" w:rsidP="00EE69BA">
            <w:pPr>
              <w:pStyle w:val="Infotext"/>
              <w:rPr>
                <w:rFonts w:cs="Arial"/>
                <w:color w:val="FF0000"/>
                <w:sz w:val="24"/>
                <w:szCs w:val="24"/>
              </w:rPr>
            </w:pPr>
            <w:r w:rsidRPr="005E3A10">
              <w:rPr>
                <w:rFonts w:cs="Arial"/>
                <w:sz w:val="24"/>
                <w:szCs w:val="24"/>
              </w:rPr>
              <w:t>Yes</w:t>
            </w:r>
            <w:r w:rsidR="00EE69BA">
              <w:rPr>
                <w:rFonts w:cs="Arial"/>
                <w:sz w:val="24"/>
                <w:szCs w:val="24"/>
              </w:rPr>
              <w:t xml:space="preserve">, </w:t>
            </w:r>
            <w:r w:rsidR="00E71413">
              <w:rPr>
                <w:rFonts w:cs="Arial"/>
                <w:sz w:val="24"/>
                <w:szCs w:val="24"/>
              </w:rPr>
              <w:t xml:space="preserve">affects </w:t>
            </w:r>
            <w:r w:rsidR="00DA337F" w:rsidRPr="00DA337F">
              <w:rPr>
                <w:rFonts w:cs="Arial"/>
                <w:sz w:val="24"/>
                <w:szCs w:val="24"/>
              </w:rPr>
              <w:t xml:space="preserve">multiple wards and over time will be significant in terms of its impact on our communities. </w:t>
            </w:r>
          </w:p>
          <w:p w14:paraId="2FEF818E" w14:textId="77777777" w:rsidR="00A81C77" w:rsidRPr="005E3A10" w:rsidRDefault="00A81C77">
            <w:pPr>
              <w:rPr>
                <w:rFonts w:cs="Arial"/>
                <w:szCs w:val="24"/>
              </w:rPr>
            </w:pPr>
          </w:p>
        </w:tc>
      </w:tr>
      <w:tr w:rsidR="00A81C77" w14:paraId="179959D7" w14:textId="77777777">
        <w:tc>
          <w:tcPr>
            <w:tcW w:w="3456" w:type="dxa"/>
          </w:tcPr>
          <w:p w14:paraId="398A861A" w14:textId="77777777" w:rsidR="00A81C77" w:rsidRPr="00C13A5F" w:rsidRDefault="00A81C77">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2475E74" w14:textId="606201D9" w:rsidR="00A81C77" w:rsidRPr="005E3A10" w:rsidRDefault="00501582">
            <w:pPr>
              <w:pStyle w:val="Infotext"/>
              <w:rPr>
                <w:rFonts w:cs="Arial"/>
                <w:sz w:val="24"/>
                <w:szCs w:val="24"/>
              </w:rPr>
            </w:pPr>
            <w:r>
              <w:rPr>
                <w:rFonts w:cs="Arial"/>
                <w:sz w:val="24"/>
                <w:szCs w:val="24"/>
              </w:rPr>
              <w:t xml:space="preserve">Dipti Patel, Corporate Director for Place </w:t>
            </w:r>
          </w:p>
          <w:p w14:paraId="56FF34CC" w14:textId="77777777" w:rsidR="00A81C77" w:rsidRPr="005E3A10" w:rsidRDefault="00A81C77">
            <w:pPr>
              <w:pStyle w:val="Infotext"/>
              <w:rPr>
                <w:rFonts w:cs="Arial"/>
                <w:sz w:val="24"/>
                <w:szCs w:val="24"/>
              </w:rPr>
            </w:pPr>
          </w:p>
        </w:tc>
      </w:tr>
      <w:tr w:rsidR="00A81C77" w14:paraId="3E7B45AA" w14:textId="77777777">
        <w:tc>
          <w:tcPr>
            <w:tcW w:w="3456" w:type="dxa"/>
          </w:tcPr>
          <w:p w14:paraId="71185DE0" w14:textId="77777777" w:rsidR="00A81C77" w:rsidRPr="00C13A5F" w:rsidRDefault="00A81C77">
            <w:pPr>
              <w:pStyle w:val="Infotext"/>
              <w:spacing w:after="240"/>
              <w:rPr>
                <w:rFonts w:ascii="Arial Black" w:hAnsi="Arial Black"/>
              </w:rPr>
            </w:pPr>
            <w:r w:rsidRPr="00DB6C3D">
              <w:rPr>
                <w:rFonts w:ascii="Arial Black" w:hAnsi="Arial Black"/>
              </w:rPr>
              <w:t>Portfolio Holder:</w:t>
            </w:r>
          </w:p>
        </w:tc>
        <w:tc>
          <w:tcPr>
            <w:tcW w:w="5054" w:type="dxa"/>
          </w:tcPr>
          <w:p w14:paraId="50FC70C1" w14:textId="062EFBB4" w:rsidR="00A81C77" w:rsidRPr="005E3A10" w:rsidRDefault="00501582" w:rsidP="3C566309">
            <w:pPr>
              <w:pStyle w:val="Infotext"/>
              <w:rPr>
                <w:rFonts w:cs="Arial"/>
                <w:color w:val="FF0000"/>
                <w:sz w:val="24"/>
                <w:szCs w:val="24"/>
              </w:rPr>
            </w:pPr>
            <w:r>
              <w:rPr>
                <w:rFonts w:cs="Arial"/>
                <w:sz w:val="24"/>
                <w:szCs w:val="24"/>
              </w:rPr>
              <w:t>Councillor Anjana Patel, P</w:t>
            </w:r>
            <w:r w:rsidR="0017227E">
              <w:rPr>
                <w:rFonts w:cs="Arial"/>
                <w:sz w:val="24"/>
                <w:szCs w:val="24"/>
              </w:rPr>
              <w:t xml:space="preserve">ortfolio Holder for Environment and Community Safety </w:t>
            </w:r>
          </w:p>
          <w:p w14:paraId="13822605" w14:textId="2C7947CC" w:rsidR="00A81C77" w:rsidRPr="005E3A10" w:rsidRDefault="00A81C77" w:rsidP="3C566309">
            <w:pPr>
              <w:pStyle w:val="Infotext"/>
              <w:rPr>
                <w:rFonts w:cs="Arial"/>
                <w:sz w:val="24"/>
                <w:szCs w:val="24"/>
              </w:rPr>
            </w:pPr>
          </w:p>
          <w:p w14:paraId="0F43FE31" w14:textId="76412AFA" w:rsidR="00A81C77" w:rsidRPr="005E3A10" w:rsidRDefault="26C5F356">
            <w:pPr>
              <w:pStyle w:val="Infotext"/>
              <w:rPr>
                <w:rFonts w:cs="Arial"/>
                <w:sz w:val="24"/>
                <w:szCs w:val="24"/>
              </w:rPr>
            </w:pPr>
            <w:r w:rsidRPr="15D43424">
              <w:rPr>
                <w:rFonts w:cs="Arial"/>
                <w:sz w:val="24"/>
                <w:szCs w:val="24"/>
              </w:rPr>
              <w:t>Councillor David Ashton,</w:t>
            </w:r>
            <w:r w:rsidRPr="0CC6E6FC">
              <w:rPr>
                <w:rFonts w:cs="Arial"/>
                <w:sz w:val="24"/>
                <w:szCs w:val="24"/>
              </w:rPr>
              <w:t xml:space="preserve"> Portfolio Holder for </w:t>
            </w:r>
            <w:r w:rsidR="002B3785">
              <w:rPr>
                <w:rFonts w:cs="Arial"/>
                <w:sz w:val="24"/>
                <w:szCs w:val="24"/>
              </w:rPr>
              <w:t>Finance and Human Resources</w:t>
            </w:r>
          </w:p>
        </w:tc>
      </w:tr>
      <w:tr w:rsidR="00A81C77" w14:paraId="403A503D" w14:textId="77777777">
        <w:tc>
          <w:tcPr>
            <w:tcW w:w="3456" w:type="dxa"/>
          </w:tcPr>
          <w:p w14:paraId="46E76344" w14:textId="77777777" w:rsidR="00F441D6" w:rsidRDefault="00F441D6">
            <w:pPr>
              <w:pStyle w:val="Infotext"/>
              <w:spacing w:after="240"/>
              <w:rPr>
                <w:rFonts w:ascii="Arial Black" w:hAnsi="Arial Black"/>
              </w:rPr>
            </w:pPr>
          </w:p>
          <w:p w14:paraId="1A2C5683" w14:textId="61099008" w:rsidR="00A81C77" w:rsidRPr="00C13A5F" w:rsidRDefault="00A81C77">
            <w:pPr>
              <w:pStyle w:val="Infotext"/>
              <w:spacing w:after="240"/>
              <w:rPr>
                <w:rFonts w:ascii="Arial Black" w:hAnsi="Arial Black"/>
              </w:rPr>
            </w:pPr>
            <w:r w:rsidRPr="00DB6C3D">
              <w:rPr>
                <w:rFonts w:ascii="Arial Black" w:hAnsi="Arial Black"/>
              </w:rPr>
              <w:t>Exempt:</w:t>
            </w:r>
          </w:p>
        </w:tc>
        <w:tc>
          <w:tcPr>
            <w:tcW w:w="5054" w:type="dxa"/>
          </w:tcPr>
          <w:p w14:paraId="2AC4F87D" w14:textId="77777777" w:rsidR="006557FC" w:rsidRDefault="006557FC">
            <w:pPr>
              <w:pStyle w:val="Infotext"/>
              <w:rPr>
                <w:rFonts w:cs="Arial"/>
                <w:sz w:val="24"/>
                <w:szCs w:val="24"/>
              </w:rPr>
            </w:pPr>
          </w:p>
          <w:p w14:paraId="04392020" w14:textId="77777777" w:rsidR="006557FC" w:rsidRDefault="006557FC">
            <w:pPr>
              <w:pStyle w:val="Infotext"/>
              <w:rPr>
                <w:rFonts w:cs="Arial"/>
                <w:sz w:val="24"/>
                <w:szCs w:val="24"/>
              </w:rPr>
            </w:pPr>
          </w:p>
          <w:p w14:paraId="348DD53D" w14:textId="05A20F3E" w:rsidR="00A81C77" w:rsidRPr="005E3A10" w:rsidRDefault="003612F1" w:rsidP="003D74D1">
            <w:pPr>
              <w:pStyle w:val="Infotext"/>
              <w:rPr>
                <w:rFonts w:cs="Arial"/>
                <w:color w:val="FF0000"/>
                <w:sz w:val="24"/>
                <w:szCs w:val="24"/>
              </w:rPr>
            </w:pPr>
            <w:r w:rsidRPr="003612F1">
              <w:rPr>
                <w:rFonts w:cs="Arial"/>
                <w:sz w:val="24"/>
                <w:szCs w:val="24"/>
              </w:rPr>
              <w:t xml:space="preserve">No, except for appendices 1 - </w:t>
            </w:r>
            <w:r>
              <w:rPr>
                <w:rFonts w:cs="Arial"/>
                <w:sz w:val="24"/>
                <w:szCs w:val="24"/>
              </w:rPr>
              <w:t>4</w:t>
            </w:r>
            <w:r w:rsidRPr="003612F1">
              <w:rPr>
                <w:rFonts w:cs="Arial"/>
                <w:sz w:val="24"/>
                <w:szCs w:val="24"/>
              </w:rPr>
              <w:t xml:space="preserve"> which are exempt by virtue of Paragraph 3 of Schedule 12A of the Local Government Act 1972 because they contain information relating to the financial &amp; business affairs of the council.</w:t>
            </w:r>
          </w:p>
        </w:tc>
      </w:tr>
      <w:tr w:rsidR="00A81C77" w14:paraId="0C786B97" w14:textId="77777777">
        <w:tc>
          <w:tcPr>
            <w:tcW w:w="3456" w:type="dxa"/>
          </w:tcPr>
          <w:p w14:paraId="18250E27" w14:textId="77777777" w:rsidR="00A81C77" w:rsidRPr="00C13A5F" w:rsidRDefault="00A81C77">
            <w:pPr>
              <w:pStyle w:val="Infotext"/>
              <w:spacing w:after="240"/>
              <w:rPr>
                <w:rFonts w:ascii="Arial Black" w:hAnsi="Arial Black"/>
              </w:rPr>
            </w:pPr>
            <w:r w:rsidRPr="00DB6C3D">
              <w:rPr>
                <w:rFonts w:ascii="Arial Black" w:hAnsi="Arial Black"/>
              </w:rPr>
              <w:t>Decision subject to Call-in:</w:t>
            </w:r>
          </w:p>
        </w:tc>
        <w:tc>
          <w:tcPr>
            <w:tcW w:w="5054" w:type="dxa"/>
          </w:tcPr>
          <w:p w14:paraId="748E588C" w14:textId="77777777" w:rsidR="0029537B" w:rsidRDefault="0029537B" w:rsidP="00E72197">
            <w:pPr>
              <w:rPr>
                <w:rFonts w:cs="Arial"/>
                <w:szCs w:val="24"/>
              </w:rPr>
            </w:pPr>
          </w:p>
          <w:p w14:paraId="526F2201" w14:textId="37C06E8C" w:rsidR="00A81C77" w:rsidRPr="005E3A10" w:rsidRDefault="00A81C77" w:rsidP="00E72197">
            <w:pPr>
              <w:rPr>
                <w:rFonts w:cs="Arial"/>
                <w:szCs w:val="24"/>
              </w:rPr>
            </w:pPr>
            <w:r w:rsidRPr="005E3A10">
              <w:rPr>
                <w:rFonts w:cs="Arial"/>
                <w:szCs w:val="24"/>
              </w:rPr>
              <w:t xml:space="preserve">Yes </w:t>
            </w:r>
          </w:p>
        </w:tc>
      </w:tr>
      <w:tr w:rsidR="00A81C77" w14:paraId="7D2423C2" w14:textId="77777777">
        <w:tc>
          <w:tcPr>
            <w:tcW w:w="3456" w:type="dxa"/>
          </w:tcPr>
          <w:p w14:paraId="02C43090" w14:textId="77777777" w:rsidR="00A81C77" w:rsidRPr="00C13A5F" w:rsidRDefault="00A81C77">
            <w:pPr>
              <w:pStyle w:val="Infotext"/>
              <w:spacing w:after="240"/>
              <w:rPr>
                <w:rFonts w:ascii="Arial Black" w:hAnsi="Arial Black" w:cs="Arial"/>
              </w:rPr>
            </w:pPr>
            <w:r>
              <w:rPr>
                <w:rFonts w:ascii="Arial Black" w:hAnsi="Arial Black" w:cs="Arial"/>
              </w:rPr>
              <w:t>Wards affected:</w:t>
            </w:r>
          </w:p>
        </w:tc>
        <w:tc>
          <w:tcPr>
            <w:tcW w:w="5054" w:type="dxa"/>
          </w:tcPr>
          <w:p w14:paraId="61044DA9" w14:textId="4F469F3B" w:rsidR="00A81C77" w:rsidRPr="00307F76" w:rsidRDefault="0029537B">
            <w:pPr>
              <w:rPr>
                <w:rFonts w:cs="Arial"/>
                <w:b/>
                <w:color w:val="FF0000"/>
                <w:szCs w:val="24"/>
              </w:rPr>
            </w:pPr>
            <w:r>
              <w:rPr>
                <w:rFonts w:cs="Arial"/>
                <w:szCs w:val="24"/>
              </w:rPr>
              <w:t>All</w:t>
            </w:r>
          </w:p>
        </w:tc>
      </w:tr>
      <w:tr w:rsidR="00A81C77" w14:paraId="6F473044" w14:textId="77777777">
        <w:tc>
          <w:tcPr>
            <w:tcW w:w="3456" w:type="dxa"/>
          </w:tcPr>
          <w:p w14:paraId="6E7CC1BC" w14:textId="77777777" w:rsidR="00A81C77" w:rsidRPr="00C13A5F" w:rsidRDefault="00A81C77">
            <w:pPr>
              <w:pStyle w:val="Infotext"/>
              <w:spacing w:after="240"/>
              <w:rPr>
                <w:rFonts w:ascii="Arial Black" w:hAnsi="Arial Black" w:cs="Arial"/>
              </w:rPr>
            </w:pPr>
            <w:r w:rsidRPr="00C13A5F">
              <w:rPr>
                <w:rFonts w:ascii="Arial Black" w:hAnsi="Arial Black" w:cs="Arial"/>
              </w:rPr>
              <w:t>Enclosures:</w:t>
            </w:r>
          </w:p>
        </w:tc>
        <w:tc>
          <w:tcPr>
            <w:tcW w:w="5054" w:type="dxa"/>
          </w:tcPr>
          <w:p w14:paraId="6E50C3EB" w14:textId="37CFCCB7" w:rsidR="009526FD" w:rsidRPr="00F516B7" w:rsidRDefault="009526FD">
            <w:pPr>
              <w:pStyle w:val="Infotext"/>
              <w:rPr>
                <w:rFonts w:cs="Arial"/>
                <w:sz w:val="24"/>
                <w:szCs w:val="24"/>
              </w:rPr>
            </w:pPr>
            <w:r w:rsidRPr="00F516B7">
              <w:rPr>
                <w:rFonts w:cs="Arial"/>
                <w:sz w:val="24"/>
                <w:szCs w:val="24"/>
              </w:rPr>
              <w:t xml:space="preserve">Appendix 1 – </w:t>
            </w:r>
            <w:r w:rsidR="004B213C" w:rsidRPr="00F516B7">
              <w:rPr>
                <w:rFonts w:cs="Arial"/>
                <w:sz w:val="24"/>
                <w:szCs w:val="24"/>
              </w:rPr>
              <w:t xml:space="preserve">Draft </w:t>
            </w:r>
            <w:r w:rsidRPr="00F516B7">
              <w:rPr>
                <w:rFonts w:cs="Arial"/>
                <w:sz w:val="24"/>
                <w:szCs w:val="24"/>
              </w:rPr>
              <w:t xml:space="preserve">Call off </w:t>
            </w:r>
            <w:r w:rsidR="004960A9" w:rsidRPr="00F516B7">
              <w:rPr>
                <w:rFonts w:cs="Arial"/>
                <w:sz w:val="24"/>
                <w:szCs w:val="24"/>
              </w:rPr>
              <w:t>Contract</w:t>
            </w:r>
            <w:r w:rsidR="006C7127">
              <w:rPr>
                <w:rFonts w:cs="Arial"/>
                <w:sz w:val="24"/>
                <w:szCs w:val="24"/>
              </w:rPr>
              <w:t xml:space="preserve"> (Exempt)</w:t>
            </w:r>
          </w:p>
          <w:p w14:paraId="040B9AF0" w14:textId="71B86BC4" w:rsidR="0015350F" w:rsidRPr="00F516B7" w:rsidRDefault="0015350F">
            <w:pPr>
              <w:pStyle w:val="Infotext"/>
              <w:rPr>
                <w:rFonts w:cs="Arial"/>
                <w:sz w:val="24"/>
                <w:szCs w:val="24"/>
              </w:rPr>
            </w:pPr>
            <w:r w:rsidRPr="00F516B7">
              <w:rPr>
                <w:rFonts w:cs="Arial"/>
                <w:sz w:val="24"/>
                <w:szCs w:val="24"/>
              </w:rPr>
              <w:t xml:space="preserve">Appendix 2 – </w:t>
            </w:r>
            <w:r w:rsidR="004B213C" w:rsidRPr="00F516B7">
              <w:rPr>
                <w:rFonts w:cs="Arial"/>
                <w:sz w:val="24"/>
                <w:szCs w:val="24"/>
              </w:rPr>
              <w:t xml:space="preserve">Draft </w:t>
            </w:r>
            <w:r w:rsidRPr="00F516B7">
              <w:rPr>
                <w:rFonts w:cs="Arial"/>
                <w:sz w:val="24"/>
                <w:szCs w:val="24"/>
              </w:rPr>
              <w:t>Specifi</w:t>
            </w:r>
            <w:r w:rsidR="006E4A75" w:rsidRPr="00F516B7">
              <w:rPr>
                <w:rFonts w:cs="Arial"/>
                <w:sz w:val="24"/>
                <w:szCs w:val="24"/>
              </w:rPr>
              <w:t>cation</w:t>
            </w:r>
            <w:r w:rsidR="006C7127">
              <w:rPr>
                <w:rFonts w:cs="Arial"/>
                <w:sz w:val="24"/>
                <w:szCs w:val="24"/>
              </w:rPr>
              <w:t xml:space="preserve"> (Exempt)</w:t>
            </w:r>
          </w:p>
          <w:p w14:paraId="7CDC4E0B" w14:textId="06804EE6" w:rsidR="006E4A75" w:rsidRPr="00F516B7" w:rsidRDefault="006E4A75">
            <w:pPr>
              <w:pStyle w:val="Infotext"/>
              <w:rPr>
                <w:rFonts w:cs="Arial"/>
                <w:sz w:val="24"/>
                <w:szCs w:val="24"/>
              </w:rPr>
            </w:pPr>
            <w:r w:rsidRPr="00F516B7">
              <w:rPr>
                <w:rFonts w:cs="Arial"/>
                <w:sz w:val="24"/>
                <w:szCs w:val="24"/>
              </w:rPr>
              <w:t xml:space="preserve">Appendix 3 – </w:t>
            </w:r>
            <w:r w:rsidR="004B213C" w:rsidRPr="00F516B7">
              <w:rPr>
                <w:rFonts w:cs="Arial"/>
                <w:sz w:val="24"/>
                <w:szCs w:val="24"/>
              </w:rPr>
              <w:t xml:space="preserve">Draft </w:t>
            </w:r>
            <w:r w:rsidRPr="00F516B7">
              <w:rPr>
                <w:rFonts w:cs="Arial"/>
                <w:sz w:val="24"/>
                <w:szCs w:val="24"/>
              </w:rPr>
              <w:t>Invitation to Tender</w:t>
            </w:r>
            <w:r w:rsidR="006C7127">
              <w:rPr>
                <w:rFonts w:cs="Arial"/>
                <w:sz w:val="24"/>
                <w:szCs w:val="24"/>
              </w:rPr>
              <w:t xml:space="preserve"> (Exempt)</w:t>
            </w:r>
          </w:p>
          <w:p w14:paraId="2B048074" w14:textId="013C4936" w:rsidR="006E4A75" w:rsidRPr="005E158A" w:rsidRDefault="006E4A75">
            <w:pPr>
              <w:pStyle w:val="Infotext"/>
              <w:rPr>
                <w:rFonts w:cs="Arial"/>
                <w:color w:val="0070C0"/>
                <w:sz w:val="24"/>
                <w:szCs w:val="24"/>
              </w:rPr>
            </w:pPr>
            <w:r w:rsidRPr="00F516B7">
              <w:rPr>
                <w:rFonts w:cs="Arial"/>
                <w:sz w:val="24"/>
                <w:szCs w:val="24"/>
              </w:rPr>
              <w:t xml:space="preserve">Appendix 4 – </w:t>
            </w:r>
            <w:r w:rsidR="004B213C" w:rsidRPr="00F516B7">
              <w:rPr>
                <w:rFonts w:cs="Arial"/>
                <w:sz w:val="24"/>
                <w:szCs w:val="24"/>
              </w:rPr>
              <w:t xml:space="preserve">Draft </w:t>
            </w:r>
            <w:r w:rsidRPr="00F516B7">
              <w:rPr>
                <w:rFonts w:cs="Arial"/>
                <w:sz w:val="24"/>
                <w:szCs w:val="24"/>
              </w:rPr>
              <w:t>Pricing Schedule</w:t>
            </w:r>
            <w:r w:rsidR="006C7127">
              <w:rPr>
                <w:rFonts w:cs="Arial"/>
                <w:sz w:val="24"/>
                <w:szCs w:val="24"/>
              </w:rPr>
              <w:t xml:space="preserve"> (Exempt)</w:t>
            </w:r>
          </w:p>
          <w:p w14:paraId="3EFA0BBA" w14:textId="77777777" w:rsidR="0015350F" w:rsidRPr="005E3A10" w:rsidRDefault="0015350F">
            <w:pPr>
              <w:pStyle w:val="Infotext"/>
              <w:rPr>
                <w:rFonts w:cs="Arial"/>
                <w:sz w:val="24"/>
                <w:szCs w:val="24"/>
              </w:rPr>
            </w:pPr>
          </w:p>
          <w:p w14:paraId="6C616406" w14:textId="4572BDD4" w:rsidR="00A81C77" w:rsidRPr="005E3A10" w:rsidRDefault="00A81C77">
            <w:pPr>
              <w:pStyle w:val="Infotext"/>
              <w:rPr>
                <w:color w:val="FF0000"/>
                <w:sz w:val="24"/>
                <w:szCs w:val="24"/>
              </w:rPr>
            </w:pPr>
          </w:p>
        </w:tc>
      </w:tr>
    </w:tbl>
    <w:p w14:paraId="191384BC" w14:textId="77777777" w:rsidR="00A81C77" w:rsidRDefault="00A81C77" w:rsidP="00A81C7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81C77" w14:paraId="21B88403" w14:textId="77777777" w:rsidTr="006C7127">
        <w:tc>
          <w:tcPr>
            <w:tcW w:w="8525" w:type="dxa"/>
            <w:tcBorders>
              <w:top w:val="nil"/>
              <w:left w:val="nil"/>
              <w:right w:val="nil"/>
            </w:tcBorders>
          </w:tcPr>
          <w:p w14:paraId="1CD7E6A8" w14:textId="5A1C55AF" w:rsidR="00A81C77" w:rsidRDefault="00A81C77" w:rsidP="00820F4A">
            <w:pPr>
              <w:pStyle w:val="Heading2"/>
              <w:spacing w:after="240"/>
            </w:pPr>
            <w:r>
              <w:lastRenderedPageBreak/>
              <w:t>Section 1 – Summary and Recommendations</w:t>
            </w:r>
          </w:p>
        </w:tc>
      </w:tr>
      <w:tr w:rsidR="00A81C77" w14:paraId="7A8B6554" w14:textId="77777777" w:rsidTr="006C7127">
        <w:tc>
          <w:tcPr>
            <w:tcW w:w="8525" w:type="dxa"/>
          </w:tcPr>
          <w:p w14:paraId="6B646751" w14:textId="77777777" w:rsidR="00CC3323" w:rsidRDefault="00CC3323">
            <w:pPr>
              <w:rPr>
                <w:color w:val="0000FF"/>
              </w:rPr>
            </w:pPr>
          </w:p>
          <w:p w14:paraId="3EAD3DC8" w14:textId="37F43F81" w:rsidR="00A81C77" w:rsidRPr="005E158A" w:rsidRDefault="00A81C77">
            <w:r w:rsidRPr="005E158A">
              <w:t xml:space="preserve">This report sets out </w:t>
            </w:r>
            <w:r w:rsidR="00B9702C" w:rsidRPr="005E158A">
              <w:t xml:space="preserve">an update on </w:t>
            </w:r>
            <w:r w:rsidR="007F70CF" w:rsidRPr="005E158A">
              <w:t>electric vehicle charging provision in Harrow</w:t>
            </w:r>
            <w:r w:rsidR="007576D5">
              <w:t xml:space="preserve">, including rapid charging provision, </w:t>
            </w:r>
            <w:r w:rsidR="007F70CF" w:rsidRPr="005E158A">
              <w:t>and seeks authority</w:t>
            </w:r>
            <w:r w:rsidR="001C35F0">
              <w:t xml:space="preserve"> from Cabinet</w:t>
            </w:r>
            <w:r w:rsidR="007F70CF" w:rsidRPr="005E158A">
              <w:t xml:space="preserve"> </w:t>
            </w:r>
            <w:r w:rsidR="007F29C2" w:rsidRPr="005E158A">
              <w:t>to implement</w:t>
            </w:r>
            <w:r w:rsidR="007F70CF" w:rsidRPr="005E158A">
              <w:t xml:space="preserve"> </w:t>
            </w:r>
            <w:r w:rsidR="007F29C2" w:rsidRPr="005E158A">
              <w:t xml:space="preserve">phases 2 and 3 of the </w:t>
            </w:r>
            <w:r w:rsidR="001F5E34" w:rsidRPr="005E158A">
              <w:t>Council’s o</w:t>
            </w:r>
            <w:r w:rsidR="007F70CF" w:rsidRPr="005E158A">
              <w:t>n-</w:t>
            </w:r>
            <w:r w:rsidR="007F29C2" w:rsidRPr="005E158A">
              <w:t>s</w:t>
            </w:r>
            <w:r w:rsidR="007F70CF" w:rsidRPr="005E158A">
              <w:t xml:space="preserve">treet </w:t>
            </w:r>
            <w:r w:rsidR="001F5E34" w:rsidRPr="005E158A">
              <w:t xml:space="preserve">residential </w:t>
            </w:r>
            <w:r w:rsidR="007F29C2" w:rsidRPr="005E158A">
              <w:t>c</w:t>
            </w:r>
            <w:r w:rsidR="007F70CF" w:rsidRPr="005E158A">
              <w:t xml:space="preserve">harge </w:t>
            </w:r>
            <w:r w:rsidR="007F29C2" w:rsidRPr="005E158A">
              <w:t>p</w:t>
            </w:r>
            <w:r w:rsidR="007F70CF" w:rsidRPr="005E158A">
              <w:t xml:space="preserve">oint </w:t>
            </w:r>
            <w:r w:rsidR="007F29C2" w:rsidRPr="005E158A">
              <w:t>s</w:t>
            </w:r>
            <w:r w:rsidR="007F70CF" w:rsidRPr="005E158A">
              <w:t>cheme</w:t>
            </w:r>
            <w:r w:rsidR="00DF3845">
              <w:t xml:space="preserve"> by procuring lamp column charge points under</w:t>
            </w:r>
            <w:r w:rsidR="00464219">
              <w:t xml:space="preserve"> </w:t>
            </w:r>
            <w:r w:rsidR="00DF3845">
              <w:t>the Oxford City Council Dynamic Purchasing System</w:t>
            </w:r>
            <w:r w:rsidR="000F4FC1">
              <w:t xml:space="preserve"> (DPS)</w:t>
            </w:r>
            <w:r w:rsidR="000A30A5">
              <w:t xml:space="preserve"> for the Supply of Ele</w:t>
            </w:r>
            <w:r w:rsidR="00464219">
              <w:t>ctric Vehicle Charging Infrastructure and Associated Services</w:t>
            </w:r>
            <w:r w:rsidR="001F5E34" w:rsidRPr="005E158A">
              <w:t>.</w:t>
            </w:r>
          </w:p>
          <w:p w14:paraId="17280191" w14:textId="77777777" w:rsidR="00A81C77" w:rsidRDefault="00A81C77" w:rsidP="00820F4A">
            <w:pPr>
              <w:pStyle w:val="Heading3"/>
              <w:spacing w:before="240"/>
            </w:pPr>
            <w:r>
              <w:t>Recommen</w:t>
            </w:r>
            <w:r w:rsidRPr="00605A4C">
              <w:t xml:space="preserve">dations: </w:t>
            </w:r>
          </w:p>
          <w:p w14:paraId="3F6F195D" w14:textId="77777777" w:rsidR="00121F15" w:rsidRPr="00121F15" w:rsidRDefault="00121F15" w:rsidP="005E158A"/>
          <w:p w14:paraId="12A62A04" w14:textId="3DB90780" w:rsidR="00C842D4" w:rsidRDefault="00A81C77">
            <w:r>
              <w:t>Cabinet is requested to:</w:t>
            </w:r>
          </w:p>
          <w:p w14:paraId="0E83D73F" w14:textId="417BA9F2" w:rsidR="007D75E8" w:rsidRPr="006C7127" w:rsidRDefault="007D75E8" w:rsidP="007D75E8">
            <w:pPr>
              <w:pStyle w:val="ListParagraph"/>
              <w:numPr>
                <w:ilvl w:val="0"/>
                <w:numId w:val="10"/>
              </w:numPr>
              <w:spacing w:before="240"/>
              <w:rPr>
                <w:szCs w:val="24"/>
              </w:rPr>
            </w:pPr>
            <w:r w:rsidRPr="006C7127">
              <w:rPr>
                <w:szCs w:val="24"/>
              </w:rPr>
              <w:t>Note the update on the expansion of electric vehicle charging provision in the borough and authorise officers to develop proposals for the installation of additional rapid chargers in Harrow, and to delegate authority to the Corporate Director for Place, following consultation with the Portfolio Holder for Environment and Community Safety, to award a contract for rapid charging installation in Harrow, following a compliant procurement process.</w:t>
            </w:r>
          </w:p>
          <w:p w14:paraId="1A32A688" w14:textId="7F6D56CB" w:rsidR="00EF3F25" w:rsidRPr="006C7127" w:rsidRDefault="00EF3F25" w:rsidP="007D75E8">
            <w:pPr>
              <w:pStyle w:val="ListParagraph"/>
              <w:numPr>
                <w:ilvl w:val="0"/>
                <w:numId w:val="10"/>
              </w:numPr>
              <w:spacing w:before="240"/>
              <w:rPr>
                <w:szCs w:val="24"/>
              </w:rPr>
            </w:pPr>
            <w:r w:rsidRPr="006C7127">
              <w:rPr>
                <w:szCs w:val="24"/>
              </w:rPr>
              <w:t>Approve the commencement of a procurement process for</w:t>
            </w:r>
            <w:r w:rsidR="00E9114F" w:rsidRPr="006C7127">
              <w:rPr>
                <w:szCs w:val="24"/>
              </w:rPr>
              <w:t xml:space="preserve"> a concess</w:t>
            </w:r>
            <w:r w:rsidR="00C041F4" w:rsidRPr="006C7127">
              <w:rPr>
                <w:szCs w:val="24"/>
              </w:rPr>
              <w:t>ionary contract</w:t>
            </w:r>
            <w:r w:rsidR="003C4225" w:rsidRPr="006C7127">
              <w:rPr>
                <w:szCs w:val="24"/>
              </w:rPr>
              <w:t xml:space="preserve"> for </w:t>
            </w:r>
            <w:r w:rsidRPr="006C7127">
              <w:rPr>
                <w:szCs w:val="24"/>
              </w:rPr>
              <w:t>the provision of</w:t>
            </w:r>
            <w:r w:rsidR="00F54F56" w:rsidRPr="006C7127">
              <w:rPr>
                <w:szCs w:val="24"/>
              </w:rPr>
              <w:t xml:space="preserve"> approximately</w:t>
            </w:r>
            <w:r w:rsidRPr="006C7127">
              <w:rPr>
                <w:szCs w:val="24"/>
              </w:rPr>
              <w:t xml:space="preserve"> 225 </w:t>
            </w:r>
            <w:r w:rsidR="00985E46" w:rsidRPr="006C7127">
              <w:rPr>
                <w:szCs w:val="24"/>
              </w:rPr>
              <w:t>l</w:t>
            </w:r>
            <w:r w:rsidRPr="006C7127">
              <w:rPr>
                <w:szCs w:val="24"/>
              </w:rPr>
              <w:t>amp column charge points for residents in Harrow</w:t>
            </w:r>
            <w:r w:rsidR="008055D6" w:rsidRPr="006C7127">
              <w:rPr>
                <w:szCs w:val="24"/>
              </w:rPr>
              <w:t xml:space="preserve"> by conducting a </w:t>
            </w:r>
            <w:r w:rsidR="0034129E" w:rsidRPr="006C7127">
              <w:rPr>
                <w:szCs w:val="24"/>
              </w:rPr>
              <w:t>call for competition</w:t>
            </w:r>
            <w:r w:rsidR="00723AB2" w:rsidRPr="006C7127">
              <w:rPr>
                <w:szCs w:val="24"/>
              </w:rPr>
              <w:t xml:space="preserve"> under the Oxford City Council Dynamic Purchasing System</w:t>
            </w:r>
            <w:r w:rsidR="000F4FC1" w:rsidRPr="006C7127">
              <w:rPr>
                <w:szCs w:val="24"/>
              </w:rPr>
              <w:t xml:space="preserve"> (DPS)</w:t>
            </w:r>
            <w:r w:rsidRPr="006C7127">
              <w:rPr>
                <w:szCs w:val="24"/>
              </w:rPr>
              <w:t xml:space="preserve">. </w:t>
            </w:r>
            <w:r w:rsidR="00AD7C3C" w:rsidRPr="006C7127">
              <w:rPr>
                <w:szCs w:val="24"/>
              </w:rPr>
              <w:t xml:space="preserve">The successful charge point operator will be responsible for </w:t>
            </w:r>
            <w:r w:rsidR="00AD7C3C" w:rsidRPr="006C7127">
              <w:rPr>
                <w:rFonts w:cs="Arial"/>
                <w:szCs w:val="24"/>
              </w:rPr>
              <w:t>installing, commissioning, and maintaining the charge points.</w:t>
            </w:r>
            <w:r w:rsidR="00AD7C3C" w:rsidRPr="006C7127">
              <w:rPr>
                <w:rFonts w:cs="Arial"/>
                <w:sz w:val="28"/>
                <w:szCs w:val="28"/>
              </w:rPr>
              <w:t xml:space="preserve"> </w:t>
            </w:r>
            <w:r w:rsidRPr="006C7127">
              <w:rPr>
                <w:szCs w:val="24"/>
              </w:rPr>
              <w:t xml:space="preserve">The term of any future </w:t>
            </w:r>
            <w:r w:rsidR="008F36CF" w:rsidRPr="006C7127">
              <w:rPr>
                <w:szCs w:val="24"/>
              </w:rPr>
              <w:t xml:space="preserve">call-off </w:t>
            </w:r>
            <w:r w:rsidRPr="006C7127">
              <w:rPr>
                <w:szCs w:val="24"/>
              </w:rPr>
              <w:t xml:space="preserve">contract following </w:t>
            </w:r>
            <w:r w:rsidR="000F4FC1" w:rsidRPr="006C7127">
              <w:rPr>
                <w:szCs w:val="24"/>
              </w:rPr>
              <w:t xml:space="preserve">the </w:t>
            </w:r>
            <w:r w:rsidR="00E77D20" w:rsidRPr="006C7127">
              <w:rPr>
                <w:szCs w:val="24"/>
              </w:rPr>
              <w:t xml:space="preserve">call for </w:t>
            </w:r>
            <w:r w:rsidR="000F4FC1" w:rsidRPr="006C7127">
              <w:rPr>
                <w:szCs w:val="24"/>
              </w:rPr>
              <w:t>competition under the DPS</w:t>
            </w:r>
            <w:r w:rsidRPr="006C7127">
              <w:rPr>
                <w:szCs w:val="24"/>
              </w:rPr>
              <w:t xml:space="preserve"> will be 10 years plus an additional </w:t>
            </w:r>
            <w:r w:rsidR="00F25CB5" w:rsidRPr="006C7127">
              <w:rPr>
                <w:szCs w:val="24"/>
              </w:rPr>
              <w:t>5</w:t>
            </w:r>
            <w:r w:rsidRPr="006C7127">
              <w:rPr>
                <w:szCs w:val="24"/>
              </w:rPr>
              <w:t>-year extension option.</w:t>
            </w:r>
          </w:p>
          <w:p w14:paraId="242B70F8" w14:textId="1D6DB1C0" w:rsidR="00EF3F25" w:rsidRPr="006C7127" w:rsidRDefault="00EF3F25" w:rsidP="007D75E8">
            <w:pPr>
              <w:pStyle w:val="ListParagraph"/>
              <w:numPr>
                <w:ilvl w:val="0"/>
                <w:numId w:val="10"/>
              </w:numPr>
              <w:spacing w:before="240"/>
              <w:rPr>
                <w:szCs w:val="24"/>
              </w:rPr>
            </w:pPr>
            <w:r w:rsidRPr="006C7127">
              <w:rPr>
                <w:szCs w:val="24"/>
              </w:rPr>
              <w:t>Approve the</w:t>
            </w:r>
            <w:r w:rsidR="00B86041" w:rsidRPr="006C7127">
              <w:rPr>
                <w:szCs w:val="24"/>
              </w:rPr>
              <w:t xml:space="preserve"> draft</w:t>
            </w:r>
            <w:r w:rsidRPr="006C7127">
              <w:rPr>
                <w:szCs w:val="24"/>
              </w:rPr>
              <w:t xml:space="preserve"> tender documents</w:t>
            </w:r>
            <w:r w:rsidR="00D303B3">
              <w:rPr>
                <w:szCs w:val="24"/>
              </w:rPr>
              <w:t xml:space="preserve"> for lamp column charge points.</w:t>
            </w:r>
          </w:p>
          <w:p w14:paraId="3199B176" w14:textId="650CE0A2" w:rsidR="00EF3F25" w:rsidRPr="006C7127" w:rsidRDefault="00EF3F25" w:rsidP="007D75E8">
            <w:pPr>
              <w:pStyle w:val="ListParagraph"/>
              <w:numPr>
                <w:ilvl w:val="0"/>
                <w:numId w:val="10"/>
              </w:numPr>
              <w:spacing w:before="240"/>
              <w:rPr>
                <w:szCs w:val="24"/>
              </w:rPr>
            </w:pPr>
            <w:r w:rsidRPr="006C7127">
              <w:rPr>
                <w:szCs w:val="24"/>
              </w:rPr>
              <w:t xml:space="preserve">Delegate authority to the Corporate Director for Place, </w:t>
            </w:r>
            <w:r w:rsidR="00D235EA" w:rsidRPr="006C7127">
              <w:rPr>
                <w:szCs w:val="24"/>
              </w:rPr>
              <w:t>following</w:t>
            </w:r>
            <w:r w:rsidR="00A05DFD" w:rsidRPr="006C7127">
              <w:rPr>
                <w:szCs w:val="24"/>
              </w:rPr>
              <w:t xml:space="preserve"> </w:t>
            </w:r>
            <w:r w:rsidRPr="006C7127">
              <w:rPr>
                <w:szCs w:val="24"/>
              </w:rPr>
              <w:t xml:space="preserve">consultation with the Portfolio Holder </w:t>
            </w:r>
            <w:r w:rsidR="00083410" w:rsidRPr="006C7127">
              <w:rPr>
                <w:szCs w:val="24"/>
              </w:rPr>
              <w:t xml:space="preserve">for Environment and Community Safety, </w:t>
            </w:r>
            <w:r w:rsidRPr="006C7127">
              <w:rPr>
                <w:szCs w:val="24"/>
              </w:rPr>
              <w:t xml:space="preserve">to make any changes required to the tender documents </w:t>
            </w:r>
            <w:r w:rsidR="000C3B57">
              <w:rPr>
                <w:szCs w:val="24"/>
              </w:rPr>
              <w:t>for lamp column charge points</w:t>
            </w:r>
            <w:r w:rsidR="00D303B3">
              <w:rPr>
                <w:szCs w:val="24"/>
              </w:rPr>
              <w:t xml:space="preserve">, </w:t>
            </w:r>
            <w:r w:rsidRPr="006C7127">
              <w:rPr>
                <w:szCs w:val="24"/>
              </w:rPr>
              <w:t xml:space="preserve">following approval. </w:t>
            </w:r>
          </w:p>
          <w:p w14:paraId="7039CDC3" w14:textId="74C15453" w:rsidR="00EF3F25" w:rsidRPr="006C7127" w:rsidRDefault="00EF3F25" w:rsidP="007D75E8">
            <w:pPr>
              <w:pStyle w:val="ListParagraph"/>
              <w:numPr>
                <w:ilvl w:val="0"/>
                <w:numId w:val="10"/>
              </w:numPr>
              <w:spacing w:before="240"/>
              <w:rPr>
                <w:i/>
                <w:iCs/>
                <w:szCs w:val="24"/>
              </w:rPr>
            </w:pPr>
            <w:r w:rsidRPr="006C7127">
              <w:rPr>
                <w:szCs w:val="24"/>
              </w:rPr>
              <w:t>Delegate authority to the Corporate Director for Place</w:t>
            </w:r>
            <w:r w:rsidR="00A72D70" w:rsidRPr="006C7127">
              <w:rPr>
                <w:szCs w:val="24"/>
              </w:rPr>
              <w:t>, following</w:t>
            </w:r>
            <w:r w:rsidRPr="006C7127">
              <w:rPr>
                <w:szCs w:val="24"/>
              </w:rPr>
              <w:t xml:space="preserve"> consultation with the Director of Finance</w:t>
            </w:r>
            <w:r w:rsidR="00C70B78" w:rsidRPr="006C7127">
              <w:rPr>
                <w:szCs w:val="24"/>
              </w:rPr>
              <w:t xml:space="preserve"> and Assurance</w:t>
            </w:r>
            <w:r w:rsidRPr="006C7127">
              <w:rPr>
                <w:szCs w:val="24"/>
              </w:rPr>
              <w:t xml:space="preserve">, the Portfolio Holder </w:t>
            </w:r>
            <w:r w:rsidR="00083410" w:rsidRPr="006C7127">
              <w:rPr>
                <w:szCs w:val="24"/>
              </w:rPr>
              <w:t>for Environment and Community Safety</w:t>
            </w:r>
            <w:r w:rsidR="00083410" w:rsidRPr="006C7127" w:rsidDel="00083410">
              <w:rPr>
                <w:szCs w:val="24"/>
              </w:rPr>
              <w:t xml:space="preserve"> </w:t>
            </w:r>
            <w:r w:rsidRPr="006C7127">
              <w:rPr>
                <w:szCs w:val="24"/>
              </w:rPr>
              <w:t>and the Portfolio Holder for Finance and Human Resources</w:t>
            </w:r>
            <w:r w:rsidR="00A72D70" w:rsidRPr="006C7127">
              <w:rPr>
                <w:szCs w:val="24"/>
              </w:rPr>
              <w:t>,</w:t>
            </w:r>
            <w:r w:rsidRPr="006C7127">
              <w:rPr>
                <w:szCs w:val="24"/>
              </w:rPr>
              <w:t xml:space="preserve"> to award the contract </w:t>
            </w:r>
            <w:r w:rsidR="00D35515">
              <w:rPr>
                <w:szCs w:val="24"/>
              </w:rPr>
              <w:t>for lamp</w:t>
            </w:r>
            <w:r w:rsidR="000703FB">
              <w:rPr>
                <w:szCs w:val="24"/>
              </w:rPr>
              <w:t xml:space="preserve"> column charge points</w:t>
            </w:r>
            <w:r w:rsidR="000C3B57">
              <w:rPr>
                <w:szCs w:val="24"/>
              </w:rPr>
              <w:t xml:space="preserve">, </w:t>
            </w:r>
            <w:r w:rsidRPr="006C7127">
              <w:rPr>
                <w:szCs w:val="24"/>
              </w:rPr>
              <w:t>following a compliant procurement process.</w:t>
            </w:r>
          </w:p>
          <w:p w14:paraId="4E729F03" w14:textId="77777777" w:rsidR="00A81C77" w:rsidRDefault="00A81C77"/>
          <w:p w14:paraId="6D52D3B4" w14:textId="46E906A2" w:rsidR="00D91856" w:rsidRDefault="00A81C77" w:rsidP="00FD59F2">
            <w:r w:rsidRPr="005E158A">
              <w:rPr>
                <w:rFonts w:cs="Arial"/>
                <w:b/>
                <w:bCs/>
                <w:sz w:val="28"/>
                <w:szCs w:val="28"/>
              </w:rPr>
              <w:t>Reason:(for recommendations)</w:t>
            </w:r>
            <w:r>
              <w:t xml:space="preserve">  </w:t>
            </w:r>
          </w:p>
          <w:p w14:paraId="40363491" w14:textId="40272EA4" w:rsidR="00A81C77" w:rsidRDefault="002823DA" w:rsidP="006C7127">
            <w:r w:rsidRPr="00F516B7">
              <w:t xml:space="preserve">To enable the expansion of electric vehicle </w:t>
            </w:r>
            <w:r w:rsidR="007C70D5" w:rsidRPr="00F516B7">
              <w:t xml:space="preserve">charging infrastructure on public assets </w:t>
            </w:r>
            <w:r w:rsidR="00D235EA" w:rsidRPr="00F516B7">
              <w:t>for the benefit of Harrow residents</w:t>
            </w:r>
            <w:r w:rsidR="00A72D70" w:rsidRPr="00F516B7">
              <w:t>, whilst c</w:t>
            </w:r>
            <w:r w:rsidR="007C70D5" w:rsidRPr="00F516B7">
              <w:t>ontribut</w:t>
            </w:r>
            <w:r w:rsidR="00A72D70" w:rsidRPr="00F516B7">
              <w:t>ing</w:t>
            </w:r>
            <w:r w:rsidR="007C70D5" w:rsidRPr="00F516B7">
              <w:t xml:space="preserve"> to decarbonisation </w:t>
            </w:r>
            <w:r w:rsidR="00826999" w:rsidRPr="00F516B7">
              <w:t>of transport in Harrow.</w:t>
            </w:r>
            <w:r w:rsidR="00826999" w:rsidRPr="00F516B7">
              <w:rPr>
                <w:rFonts w:cs="Arial"/>
                <w:sz w:val="28"/>
                <w:szCs w:val="28"/>
              </w:rPr>
              <w:t xml:space="preserve"> </w:t>
            </w:r>
            <w:r w:rsidR="00BF1E79" w:rsidRPr="00F516B7">
              <w:rPr>
                <w:rFonts w:cs="Arial"/>
                <w:szCs w:val="24"/>
              </w:rPr>
              <w:t xml:space="preserve">Cabinet authorisation is required to comply with the </w:t>
            </w:r>
            <w:r w:rsidR="005F0044" w:rsidRPr="00F516B7">
              <w:rPr>
                <w:rFonts w:cs="Arial"/>
                <w:szCs w:val="24"/>
              </w:rPr>
              <w:t>Council’s Contract Procedure Rules and Financial Regulations.</w:t>
            </w:r>
          </w:p>
        </w:tc>
      </w:tr>
    </w:tbl>
    <w:p w14:paraId="6734E4F8" w14:textId="77777777" w:rsidR="002617A3" w:rsidRDefault="002617A3" w:rsidP="00A81C77">
      <w:pPr>
        <w:pStyle w:val="Heading2"/>
        <w:spacing w:before="480"/>
      </w:pPr>
    </w:p>
    <w:p w14:paraId="50BB52BB" w14:textId="7D6EB0A4" w:rsidR="00A81C77" w:rsidRDefault="00A81C77" w:rsidP="00A81C77">
      <w:pPr>
        <w:pStyle w:val="Heading2"/>
        <w:spacing w:before="480"/>
      </w:pPr>
      <w:r>
        <w:t>Section 2 – Report</w:t>
      </w:r>
    </w:p>
    <w:p w14:paraId="3D36C4CE" w14:textId="51E4E01F" w:rsidR="007D7DE0" w:rsidRDefault="00A81C77" w:rsidP="005F5A56">
      <w:pPr>
        <w:pStyle w:val="Heading3"/>
        <w:spacing w:before="240"/>
      </w:pPr>
      <w:r>
        <w:t>Introductory paragraph</w:t>
      </w:r>
    </w:p>
    <w:p w14:paraId="1F6DE892" w14:textId="63C5ACEF" w:rsidR="006622A3" w:rsidRDefault="00046199" w:rsidP="00A81C77">
      <w:pPr>
        <w:rPr>
          <w:rFonts w:cs="Arial"/>
          <w:lang w:eastAsia="en-GB"/>
        </w:rPr>
      </w:pPr>
      <w:r>
        <w:t xml:space="preserve">2.1 </w:t>
      </w:r>
      <w:r w:rsidR="00EB53C0">
        <w:t xml:space="preserve">A key theme of the </w:t>
      </w:r>
      <w:r w:rsidR="006622A3">
        <w:t xml:space="preserve">Council’s </w:t>
      </w:r>
      <w:r w:rsidR="00EB53C0">
        <w:t>Climate and Nature Strategy 2023-20</w:t>
      </w:r>
      <w:r w:rsidR="004E69A5">
        <w:t>30, which was approved by cabinet in April</w:t>
      </w:r>
      <w:r w:rsidR="00A92B64">
        <w:t xml:space="preserve"> 2023</w:t>
      </w:r>
      <w:r w:rsidR="004E69A5">
        <w:t xml:space="preserve"> in draft for public consultatio</w:t>
      </w:r>
      <w:r w:rsidR="00414DF3">
        <w:t xml:space="preserve">n, is Green Mobility. </w:t>
      </w:r>
      <w:r w:rsidR="007F1A48">
        <w:t>Th</w:t>
      </w:r>
      <w:r w:rsidR="003B4001">
        <w:t xml:space="preserve">e </w:t>
      </w:r>
      <w:r w:rsidR="00FD5A48">
        <w:t xml:space="preserve">Green Mobility theme </w:t>
      </w:r>
      <w:r w:rsidR="007F1A48">
        <w:t xml:space="preserve">includes the overarching objective to </w:t>
      </w:r>
      <w:r w:rsidR="00EA644E">
        <w:t xml:space="preserve">support the </w:t>
      </w:r>
      <w:r w:rsidR="005E79E0">
        <w:t xml:space="preserve">decarbonisation of </w:t>
      </w:r>
      <w:r w:rsidR="00D61D49">
        <w:t>t</w:t>
      </w:r>
      <w:r w:rsidR="005E79E0">
        <w:t xml:space="preserve">ransport </w:t>
      </w:r>
      <w:r w:rsidR="005E1606">
        <w:t xml:space="preserve">within the borough </w:t>
      </w:r>
      <w:r w:rsidR="002C5624" w:rsidRPr="001D3D0F">
        <w:rPr>
          <w:rFonts w:cs="Arial"/>
          <w:lang w:eastAsia="en-GB"/>
        </w:rPr>
        <w:t>by enabling low</w:t>
      </w:r>
      <w:r w:rsidR="002C5624">
        <w:rPr>
          <w:rFonts w:cs="Arial"/>
          <w:lang w:eastAsia="en-GB"/>
        </w:rPr>
        <w:t>-</w:t>
      </w:r>
      <w:r w:rsidR="002C5624" w:rsidRPr="001D3D0F">
        <w:rPr>
          <w:rFonts w:cs="Arial"/>
          <w:lang w:eastAsia="en-GB"/>
        </w:rPr>
        <w:t>carbon sustainable travel</w:t>
      </w:r>
      <w:r w:rsidR="005E1606">
        <w:rPr>
          <w:rFonts w:cs="Arial"/>
          <w:lang w:eastAsia="en-GB"/>
        </w:rPr>
        <w:t xml:space="preserve">. </w:t>
      </w:r>
      <w:r w:rsidR="002C5624">
        <w:rPr>
          <w:rFonts w:cs="Arial"/>
          <w:lang w:eastAsia="en-GB"/>
        </w:rPr>
        <w:t xml:space="preserve">This involves </w:t>
      </w:r>
      <w:r w:rsidR="007576D5">
        <w:rPr>
          <w:rFonts w:cs="Arial"/>
          <w:lang w:eastAsia="en-GB"/>
        </w:rPr>
        <w:t xml:space="preserve">in part </w:t>
      </w:r>
      <w:r w:rsidR="002C5624">
        <w:rPr>
          <w:rFonts w:cs="Arial"/>
          <w:lang w:eastAsia="en-GB"/>
        </w:rPr>
        <w:t>a shift towards increased walking, cycling, public transport,</w:t>
      </w:r>
      <w:r w:rsidR="005E1606">
        <w:rPr>
          <w:rFonts w:cs="Arial"/>
          <w:lang w:eastAsia="en-GB"/>
        </w:rPr>
        <w:t xml:space="preserve"> and</w:t>
      </w:r>
      <w:r w:rsidR="002C5624">
        <w:rPr>
          <w:rFonts w:cs="Arial"/>
          <w:lang w:eastAsia="en-GB"/>
        </w:rPr>
        <w:t xml:space="preserve"> car-sharing</w:t>
      </w:r>
      <w:r w:rsidR="007576D5">
        <w:rPr>
          <w:rFonts w:cs="Arial"/>
          <w:lang w:eastAsia="en-GB"/>
        </w:rPr>
        <w:t xml:space="preserve">. However, in addition, </w:t>
      </w:r>
      <w:r w:rsidR="00124DA1">
        <w:rPr>
          <w:rFonts w:cs="Arial"/>
          <w:lang w:eastAsia="en-GB"/>
        </w:rPr>
        <w:t xml:space="preserve">transitioning from fossil fuel vehicles </w:t>
      </w:r>
      <w:r w:rsidR="004E00FB">
        <w:rPr>
          <w:rFonts w:cs="Arial"/>
          <w:lang w:eastAsia="en-GB"/>
        </w:rPr>
        <w:t xml:space="preserve">to </w:t>
      </w:r>
      <w:r w:rsidR="002C5624">
        <w:rPr>
          <w:rFonts w:cs="Arial"/>
          <w:lang w:eastAsia="en-GB"/>
        </w:rPr>
        <w:t>electric vehicle</w:t>
      </w:r>
      <w:r w:rsidR="004E00FB">
        <w:rPr>
          <w:rFonts w:cs="Arial"/>
          <w:lang w:eastAsia="en-GB"/>
        </w:rPr>
        <w:t xml:space="preserve">s is also a key outcome that </w:t>
      </w:r>
      <w:r w:rsidR="0018222B">
        <w:rPr>
          <w:rFonts w:cs="Arial"/>
          <w:lang w:eastAsia="en-GB"/>
        </w:rPr>
        <w:t xml:space="preserve">enables the </w:t>
      </w:r>
      <w:r w:rsidR="00063FD2">
        <w:rPr>
          <w:rFonts w:cs="Arial"/>
          <w:lang w:eastAsia="en-GB"/>
        </w:rPr>
        <w:t>j</w:t>
      </w:r>
      <w:r w:rsidR="0018222B">
        <w:rPr>
          <w:rFonts w:cs="Arial"/>
          <w:lang w:eastAsia="en-GB"/>
        </w:rPr>
        <w:t xml:space="preserve">ourney to net zero. </w:t>
      </w:r>
      <w:r w:rsidR="002C5624">
        <w:rPr>
          <w:rFonts w:cs="Arial"/>
          <w:lang w:eastAsia="en-GB"/>
        </w:rPr>
        <w:t xml:space="preserve"> In addition to tackling a major part of Harrow’s carbon emissions, </w:t>
      </w:r>
      <w:r w:rsidR="0018222B">
        <w:rPr>
          <w:rFonts w:cs="Arial"/>
          <w:lang w:eastAsia="en-GB"/>
        </w:rPr>
        <w:t xml:space="preserve">the progressive electrification of vehicles </w:t>
      </w:r>
      <w:r w:rsidR="002E4BE3">
        <w:rPr>
          <w:rFonts w:cs="Arial"/>
          <w:lang w:eastAsia="en-GB"/>
        </w:rPr>
        <w:t xml:space="preserve">in the borough </w:t>
      </w:r>
      <w:r w:rsidR="002C5624">
        <w:rPr>
          <w:rFonts w:cs="Arial"/>
          <w:lang w:eastAsia="en-GB"/>
        </w:rPr>
        <w:t>will significantly reduce air and noise pollution in Harrow, lead to better health outcomes, improve biodiversity and result in a more pleasant place in which to live and work.</w:t>
      </w:r>
    </w:p>
    <w:p w14:paraId="0BBFA42C" w14:textId="5209E634" w:rsidR="00A61AD3" w:rsidRDefault="00A61AD3" w:rsidP="00A81C77">
      <w:pPr>
        <w:rPr>
          <w:rFonts w:cs="Arial"/>
          <w:lang w:eastAsia="en-GB"/>
        </w:rPr>
      </w:pPr>
    </w:p>
    <w:p w14:paraId="37E443C8" w14:textId="113AB575" w:rsidR="00A81C77" w:rsidRDefault="00046199" w:rsidP="00A81C77">
      <w:r>
        <w:rPr>
          <w:rFonts w:cs="Arial"/>
          <w:lang w:eastAsia="en-GB"/>
        </w:rPr>
        <w:t xml:space="preserve">2.2 </w:t>
      </w:r>
      <w:r w:rsidR="00A61AD3">
        <w:rPr>
          <w:rFonts w:cs="Arial"/>
          <w:lang w:eastAsia="en-GB"/>
        </w:rPr>
        <w:t xml:space="preserve">To help support </w:t>
      </w:r>
      <w:r w:rsidR="00E3260B">
        <w:rPr>
          <w:rFonts w:cs="Arial"/>
          <w:lang w:eastAsia="en-GB"/>
        </w:rPr>
        <w:t>these objectives, the Council’s</w:t>
      </w:r>
      <w:r w:rsidR="005B7AFB">
        <w:rPr>
          <w:rFonts w:cs="Arial"/>
          <w:lang w:eastAsia="en-GB"/>
        </w:rPr>
        <w:t xml:space="preserve"> </w:t>
      </w:r>
      <w:r w:rsidR="00E3260B">
        <w:rPr>
          <w:rFonts w:cs="Arial"/>
          <w:lang w:eastAsia="en-GB"/>
        </w:rPr>
        <w:t xml:space="preserve">Corporate Plan also has a flagship action to double the number of electric vehicle charging points on </w:t>
      </w:r>
      <w:r w:rsidR="005B7AFB">
        <w:rPr>
          <w:rFonts w:cs="Arial"/>
          <w:lang w:eastAsia="en-GB"/>
        </w:rPr>
        <w:t xml:space="preserve">Council assets. </w:t>
      </w:r>
    </w:p>
    <w:p w14:paraId="0406E429" w14:textId="57FB8077" w:rsidR="00BA659E" w:rsidRDefault="00A81C77" w:rsidP="005E158A">
      <w:pPr>
        <w:pStyle w:val="Heading3"/>
        <w:spacing w:before="240"/>
        <w:ind w:left="0" w:firstLine="0"/>
        <w:jc w:val="left"/>
      </w:pPr>
      <w:r>
        <w:t xml:space="preserve">Options considered  </w:t>
      </w:r>
    </w:p>
    <w:p w14:paraId="585C8480" w14:textId="591478B2" w:rsidR="00267E8E" w:rsidRDefault="00267E8E" w:rsidP="00A81C77">
      <w:pPr>
        <w:rPr>
          <w:rFonts w:cs="Arial"/>
          <w:b/>
          <w:bCs/>
          <w:color w:val="0000FF"/>
          <w:sz w:val="28"/>
          <w:szCs w:val="28"/>
        </w:rPr>
      </w:pPr>
    </w:p>
    <w:p w14:paraId="5D2D9422" w14:textId="77728B0B" w:rsidR="002B52A3" w:rsidRDefault="00046199" w:rsidP="00046199">
      <w:pPr>
        <w:rPr>
          <w:rFonts w:cs="Arial"/>
          <w:szCs w:val="24"/>
        </w:rPr>
      </w:pPr>
      <w:r>
        <w:rPr>
          <w:rFonts w:cs="Arial"/>
          <w:szCs w:val="24"/>
        </w:rPr>
        <w:t xml:space="preserve">2.3 </w:t>
      </w:r>
      <w:r w:rsidR="00267E8E" w:rsidRPr="005E158A">
        <w:rPr>
          <w:rFonts w:cs="Arial"/>
          <w:szCs w:val="24"/>
        </w:rPr>
        <w:t xml:space="preserve">The options are to approve the </w:t>
      </w:r>
      <w:r w:rsidR="007576D5">
        <w:rPr>
          <w:rFonts w:cs="Arial"/>
          <w:szCs w:val="24"/>
        </w:rPr>
        <w:t xml:space="preserve">development of proposals for rapid charging provision in Harrow and </w:t>
      </w:r>
      <w:r w:rsidR="007228DD" w:rsidRPr="005E158A">
        <w:rPr>
          <w:rFonts w:cs="Arial"/>
          <w:szCs w:val="24"/>
        </w:rPr>
        <w:t xml:space="preserve">implementation of the next phases of on-street electric vehicle </w:t>
      </w:r>
      <w:r w:rsidR="00FF007B" w:rsidRPr="005E158A">
        <w:rPr>
          <w:rFonts w:cs="Arial"/>
          <w:szCs w:val="24"/>
        </w:rPr>
        <w:t>residential charging points</w:t>
      </w:r>
      <w:r w:rsidR="00E61EF6">
        <w:rPr>
          <w:rFonts w:cs="Arial"/>
          <w:szCs w:val="24"/>
        </w:rPr>
        <w:t xml:space="preserve"> through the procurement of lamp column charge points</w:t>
      </w:r>
      <w:r w:rsidR="00FF007B" w:rsidRPr="005E158A">
        <w:rPr>
          <w:rFonts w:cs="Arial"/>
          <w:szCs w:val="24"/>
        </w:rPr>
        <w:t xml:space="preserve">, or to </w:t>
      </w:r>
      <w:r w:rsidR="001C7795" w:rsidRPr="005E158A">
        <w:rPr>
          <w:rFonts w:cs="Arial"/>
          <w:szCs w:val="24"/>
        </w:rPr>
        <w:t>choose not to</w:t>
      </w:r>
      <w:r w:rsidR="00FF007B" w:rsidRPr="005E158A">
        <w:rPr>
          <w:rFonts w:cs="Arial"/>
          <w:szCs w:val="24"/>
        </w:rPr>
        <w:t>. It is recommended to proceed with implementation</w:t>
      </w:r>
      <w:r w:rsidR="00115BB6">
        <w:rPr>
          <w:rFonts w:cs="Arial"/>
          <w:szCs w:val="24"/>
        </w:rPr>
        <w:t xml:space="preserve"> and procurement</w:t>
      </w:r>
      <w:r w:rsidR="00FF007B" w:rsidRPr="005E158A">
        <w:rPr>
          <w:rFonts w:cs="Arial"/>
          <w:szCs w:val="24"/>
        </w:rPr>
        <w:t xml:space="preserve"> </w:t>
      </w:r>
      <w:r w:rsidR="00C6363D" w:rsidRPr="005E158A">
        <w:rPr>
          <w:rFonts w:cs="Arial"/>
          <w:szCs w:val="24"/>
        </w:rPr>
        <w:t>as failure to do so will result in significant grant funding being los</w:t>
      </w:r>
      <w:r w:rsidR="00255987" w:rsidRPr="005E158A">
        <w:rPr>
          <w:rFonts w:cs="Arial"/>
          <w:szCs w:val="24"/>
        </w:rPr>
        <w:t xml:space="preserve">t, </w:t>
      </w:r>
      <w:r w:rsidR="00C6363D" w:rsidRPr="005E158A">
        <w:rPr>
          <w:rFonts w:cs="Arial"/>
          <w:szCs w:val="24"/>
        </w:rPr>
        <w:t xml:space="preserve">will not advance the Council’s decarbonisation aims </w:t>
      </w:r>
      <w:r w:rsidR="00255987" w:rsidRPr="005E158A">
        <w:rPr>
          <w:rFonts w:cs="Arial"/>
          <w:szCs w:val="24"/>
        </w:rPr>
        <w:t xml:space="preserve">and will fail to support residents in the transition to electric vehicles. </w:t>
      </w:r>
    </w:p>
    <w:p w14:paraId="26DF6BCD" w14:textId="77777777" w:rsidR="00F1393E" w:rsidRDefault="00F1393E" w:rsidP="00046199">
      <w:pPr>
        <w:rPr>
          <w:rFonts w:cs="Arial"/>
          <w:szCs w:val="24"/>
        </w:rPr>
      </w:pPr>
    </w:p>
    <w:p w14:paraId="31905172" w14:textId="438A25B2" w:rsidR="00F1393E" w:rsidRPr="00F516B7" w:rsidRDefault="00046199" w:rsidP="00046199">
      <w:pPr>
        <w:spacing w:after="160"/>
        <w:rPr>
          <w:rFonts w:eastAsiaTheme="minorHAnsi" w:cs="Arial"/>
          <w:szCs w:val="24"/>
        </w:rPr>
      </w:pPr>
      <w:r>
        <w:rPr>
          <w:rFonts w:eastAsiaTheme="minorHAnsi" w:cs="Arial"/>
          <w:szCs w:val="24"/>
        </w:rPr>
        <w:t xml:space="preserve">2.4 </w:t>
      </w:r>
      <w:r w:rsidR="00F1393E" w:rsidRPr="00F516B7">
        <w:rPr>
          <w:rFonts w:eastAsiaTheme="minorHAnsi" w:cs="Arial"/>
          <w:szCs w:val="24"/>
        </w:rPr>
        <w:t>Given the timescales and availability of a suitable DPS framework, where EV providers have already been financially and technically vetted, and can be procured relatively quickly, there is no need for the Council to undertake a lengthy full open tendering process for this procurement.</w:t>
      </w:r>
    </w:p>
    <w:p w14:paraId="58B165BB" w14:textId="107CEF01" w:rsidR="00A81C77" w:rsidRPr="005E158A" w:rsidRDefault="00A81C77" w:rsidP="00A81C77">
      <w:pPr>
        <w:pStyle w:val="Heading2"/>
        <w:spacing w:before="240"/>
        <w:rPr>
          <w:rFonts w:ascii="Arial" w:hAnsi="Arial"/>
          <w:sz w:val="28"/>
          <w:szCs w:val="28"/>
        </w:rPr>
      </w:pPr>
      <w:r w:rsidRPr="005E158A">
        <w:rPr>
          <w:rFonts w:ascii="Arial" w:hAnsi="Arial"/>
          <w:sz w:val="28"/>
          <w:szCs w:val="28"/>
        </w:rPr>
        <w:t xml:space="preserve">Background </w:t>
      </w:r>
    </w:p>
    <w:p w14:paraId="1C95F7EC" w14:textId="77777777" w:rsidR="007826A1" w:rsidRDefault="007826A1" w:rsidP="00C92AFD">
      <w:pPr>
        <w:jc w:val="both"/>
        <w:rPr>
          <w:sz w:val="22"/>
          <w:szCs w:val="22"/>
        </w:rPr>
      </w:pPr>
    </w:p>
    <w:p w14:paraId="6BBAE71E" w14:textId="613E3BE9" w:rsidR="00C92AFD" w:rsidRPr="00046199" w:rsidRDefault="00046199" w:rsidP="00C92AFD">
      <w:pPr>
        <w:jc w:val="both"/>
        <w:rPr>
          <w:szCs w:val="24"/>
        </w:rPr>
      </w:pPr>
      <w:r w:rsidRPr="00046199">
        <w:rPr>
          <w:szCs w:val="24"/>
        </w:rPr>
        <w:t xml:space="preserve">2.5 </w:t>
      </w:r>
      <w:r w:rsidR="00C92AFD" w:rsidRPr="00046199">
        <w:rPr>
          <w:szCs w:val="24"/>
        </w:rPr>
        <w:t xml:space="preserve">Harrow plans are underway to increase Electric Vehicle (EV) charging infrastructure across the Borough as part of its Traffic Management Programme, Walking and Cycling Strategy and based on requests from residents living in residential streets with no off-street parking possibilities. </w:t>
      </w:r>
      <w:r w:rsidR="006F6D83" w:rsidRPr="00046199">
        <w:rPr>
          <w:szCs w:val="24"/>
        </w:rPr>
        <w:t xml:space="preserve">A Transportation Strategy and Electric Vehicle Strategy </w:t>
      </w:r>
      <w:r w:rsidR="00873C29" w:rsidRPr="00046199">
        <w:rPr>
          <w:szCs w:val="24"/>
        </w:rPr>
        <w:t xml:space="preserve">are </w:t>
      </w:r>
      <w:r w:rsidRPr="00046199">
        <w:rPr>
          <w:szCs w:val="24"/>
        </w:rPr>
        <w:t>under development</w:t>
      </w:r>
      <w:r w:rsidR="00C92AFD" w:rsidRPr="00046199">
        <w:rPr>
          <w:szCs w:val="24"/>
        </w:rPr>
        <w:t xml:space="preserve"> by the Harrow Transportation Team </w:t>
      </w:r>
      <w:r w:rsidR="00873C29" w:rsidRPr="00046199">
        <w:rPr>
          <w:szCs w:val="24"/>
        </w:rPr>
        <w:t>for presentation to Cabinet</w:t>
      </w:r>
      <w:r w:rsidR="00F032A7" w:rsidRPr="00046199">
        <w:rPr>
          <w:szCs w:val="24"/>
        </w:rPr>
        <w:t xml:space="preserve"> later this year</w:t>
      </w:r>
      <w:r w:rsidR="00873C29" w:rsidRPr="00046199">
        <w:rPr>
          <w:szCs w:val="24"/>
        </w:rPr>
        <w:t xml:space="preserve">, </w:t>
      </w:r>
      <w:r w:rsidR="00C92AFD" w:rsidRPr="00046199">
        <w:rPr>
          <w:szCs w:val="24"/>
        </w:rPr>
        <w:t>which will set targets to roll out EV charging infrastructure</w:t>
      </w:r>
      <w:r w:rsidR="00873C29" w:rsidRPr="00046199">
        <w:rPr>
          <w:szCs w:val="24"/>
        </w:rPr>
        <w:t xml:space="preserve"> and how </w:t>
      </w:r>
      <w:r w:rsidR="00F032A7" w:rsidRPr="00046199">
        <w:rPr>
          <w:szCs w:val="24"/>
        </w:rPr>
        <w:t>this can contribute</w:t>
      </w:r>
      <w:r w:rsidR="009A004D" w:rsidRPr="00046199">
        <w:rPr>
          <w:szCs w:val="24"/>
        </w:rPr>
        <w:t xml:space="preserve"> to</w:t>
      </w:r>
      <w:r w:rsidR="00F032A7" w:rsidRPr="00046199">
        <w:rPr>
          <w:szCs w:val="24"/>
        </w:rPr>
        <w:t xml:space="preserve"> the Green Mobility and decarbonisation objectives in its </w:t>
      </w:r>
      <w:r w:rsidR="00C344FB" w:rsidRPr="00046199">
        <w:rPr>
          <w:szCs w:val="24"/>
        </w:rPr>
        <w:t>overarching</w:t>
      </w:r>
      <w:r w:rsidR="007576D5" w:rsidRPr="00046199">
        <w:rPr>
          <w:szCs w:val="24"/>
        </w:rPr>
        <w:t xml:space="preserve"> </w:t>
      </w:r>
      <w:r w:rsidR="00F032A7" w:rsidRPr="00046199">
        <w:rPr>
          <w:szCs w:val="24"/>
        </w:rPr>
        <w:t xml:space="preserve">Climate </w:t>
      </w:r>
      <w:r w:rsidR="00C344FB" w:rsidRPr="00046199">
        <w:rPr>
          <w:szCs w:val="24"/>
        </w:rPr>
        <w:t xml:space="preserve">&amp; Nature Strategy. </w:t>
      </w:r>
      <w:r w:rsidR="00C92AFD" w:rsidRPr="00046199">
        <w:rPr>
          <w:szCs w:val="24"/>
        </w:rPr>
        <w:t xml:space="preserve"> </w:t>
      </w:r>
    </w:p>
    <w:p w14:paraId="7C414D53" w14:textId="77777777" w:rsidR="00C92AFD" w:rsidRPr="00046199" w:rsidRDefault="00C92AFD" w:rsidP="00C92AFD">
      <w:pPr>
        <w:jc w:val="both"/>
        <w:rPr>
          <w:i/>
          <w:iCs/>
          <w:szCs w:val="24"/>
        </w:rPr>
      </w:pPr>
    </w:p>
    <w:p w14:paraId="70406ADA" w14:textId="5D1AF587" w:rsidR="00C92AFD" w:rsidRPr="00046199" w:rsidRDefault="00046199" w:rsidP="00C92AFD">
      <w:pPr>
        <w:jc w:val="both"/>
        <w:rPr>
          <w:rFonts w:cs="Arial"/>
          <w:szCs w:val="24"/>
        </w:rPr>
      </w:pPr>
      <w:r w:rsidRPr="00046199">
        <w:rPr>
          <w:rFonts w:cs="Arial"/>
          <w:szCs w:val="24"/>
        </w:rPr>
        <w:t xml:space="preserve">2.6 </w:t>
      </w:r>
      <w:r w:rsidR="00C344FB" w:rsidRPr="00046199">
        <w:rPr>
          <w:rFonts w:cs="Arial"/>
          <w:szCs w:val="24"/>
        </w:rPr>
        <w:t>In the meantime, f</w:t>
      </w:r>
      <w:r w:rsidR="00C92AFD" w:rsidRPr="00046199">
        <w:rPr>
          <w:rFonts w:cs="Arial"/>
          <w:szCs w:val="24"/>
        </w:rPr>
        <w:t>ollowing the announcement of £20 million grant funding by the Office for Low Emission Vehicles (OLEV), Harrow has now secured £</w:t>
      </w:r>
      <w:r w:rsidR="00A87DCA" w:rsidRPr="00046199">
        <w:rPr>
          <w:rFonts w:cs="Arial"/>
          <w:szCs w:val="24"/>
        </w:rPr>
        <w:t>520,840 in</w:t>
      </w:r>
      <w:r w:rsidR="00C92AFD" w:rsidRPr="00046199">
        <w:rPr>
          <w:rFonts w:cs="Arial"/>
          <w:szCs w:val="24"/>
        </w:rPr>
        <w:t xml:space="preserve"> funding</w:t>
      </w:r>
      <w:r w:rsidR="008A429F" w:rsidRPr="00046199">
        <w:rPr>
          <w:rFonts w:cs="Arial"/>
          <w:szCs w:val="24"/>
        </w:rPr>
        <w:t xml:space="preserve"> from the Office</w:t>
      </w:r>
      <w:r w:rsidR="00DC29FA" w:rsidRPr="00046199">
        <w:rPr>
          <w:rFonts w:cs="Arial"/>
          <w:szCs w:val="24"/>
        </w:rPr>
        <w:t xml:space="preserve"> for Zero Emission Vehicles (OZEV)</w:t>
      </w:r>
      <w:r w:rsidR="008A429F" w:rsidRPr="00046199">
        <w:rPr>
          <w:rFonts w:cs="Arial"/>
          <w:szCs w:val="24"/>
        </w:rPr>
        <w:t xml:space="preserve"> </w:t>
      </w:r>
      <w:r w:rsidR="00C92AFD" w:rsidRPr="00046199">
        <w:rPr>
          <w:rFonts w:cs="Arial"/>
          <w:szCs w:val="24"/>
        </w:rPr>
        <w:t xml:space="preserve"> </w:t>
      </w:r>
      <w:r w:rsidR="00A50D5F" w:rsidRPr="00046199">
        <w:rPr>
          <w:rFonts w:cs="Arial"/>
          <w:szCs w:val="24"/>
        </w:rPr>
        <w:t>for</w:t>
      </w:r>
      <w:r w:rsidR="00C92AFD" w:rsidRPr="00046199">
        <w:rPr>
          <w:rFonts w:cs="Arial"/>
          <w:szCs w:val="24"/>
        </w:rPr>
        <w:t xml:space="preserve"> </w:t>
      </w:r>
      <w:r w:rsidR="003D7093" w:rsidRPr="00046199">
        <w:rPr>
          <w:rFonts w:cs="Arial"/>
          <w:szCs w:val="24"/>
        </w:rPr>
        <w:t>P</w:t>
      </w:r>
      <w:r w:rsidR="00C92AFD" w:rsidRPr="00046199">
        <w:rPr>
          <w:rFonts w:cs="Arial"/>
          <w:szCs w:val="24"/>
        </w:rPr>
        <w:t>hase</w:t>
      </w:r>
      <w:r w:rsidR="00832F23" w:rsidRPr="00046199">
        <w:rPr>
          <w:rFonts w:cs="Arial"/>
          <w:szCs w:val="24"/>
        </w:rPr>
        <w:t>s</w:t>
      </w:r>
      <w:r w:rsidR="00C92AFD" w:rsidRPr="00046199">
        <w:rPr>
          <w:rFonts w:cs="Arial"/>
          <w:szCs w:val="24"/>
        </w:rPr>
        <w:t xml:space="preserve"> 2</w:t>
      </w:r>
      <w:r w:rsidR="00832F23" w:rsidRPr="00046199">
        <w:rPr>
          <w:rFonts w:cs="Arial"/>
          <w:szCs w:val="24"/>
        </w:rPr>
        <w:t xml:space="preserve"> &amp; 3</w:t>
      </w:r>
      <w:r w:rsidR="00C92AFD" w:rsidRPr="00046199">
        <w:rPr>
          <w:rFonts w:cs="Arial"/>
          <w:szCs w:val="24"/>
        </w:rPr>
        <w:t xml:space="preserve"> of ‘on street’ residential charging locations</w:t>
      </w:r>
      <w:r w:rsidR="00735340" w:rsidRPr="00046199">
        <w:rPr>
          <w:rFonts w:cs="Arial"/>
          <w:szCs w:val="24"/>
        </w:rPr>
        <w:t xml:space="preserve">, to </w:t>
      </w:r>
      <w:r w:rsidR="004C1B97" w:rsidRPr="00046199">
        <w:rPr>
          <w:rFonts w:cs="Arial"/>
          <w:szCs w:val="24"/>
        </w:rPr>
        <w:t>deliver 225</w:t>
      </w:r>
      <w:r w:rsidR="00BA6C24" w:rsidRPr="00046199">
        <w:rPr>
          <w:rFonts w:cs="Arial"/>
          <w:szCs w:val="24"/>
        </w:rPr>
        <w:t xml:space="preserve"> </w:t>
      </w:r>
      <w:r w:rsidR="007820A2" w:rsidRPr="00046199">
        <w:rPr>
          <w:rFonts w:cs="Arial"/>
          <w:szCs w:val="24"/>
        </w:rPr>
        <w:t>charge points</w:t>
      </w:r>
      <w:r w:rsidR="008824F3" w:rsidRPr="00046199">
        <w:rPr>
          <w:rFonts w:cs="Arial"/>
          <w:szCs w:val="24"/>
        </w:rPr>
        <w:t xml:space="preserve"> </w:t>
      </w:r>
      <w:r w:rsidR="00C92AFD" w:rsidRPr="00046199">
        <w:rPr>
          <w:rFonts w:cs="Arial"/>
          <w:szCs w:val="24"/>
        </w:rPr>
        <w:t xml:space="preserve">. This is in addition to the 24 residential charge points and 5 on-street chargers already installed and operational as part of </w:t>
      </w:r>
      <w:r w:rsidR="00123919" w:rsidRPr="00046199">
        <w:rPr>
          <w:rFonts w:cs="Arial"/>
          <w:szCs w:val="24"/>
        </w:rPr>
        <w:t>P</w:t>
      </w:r>
      <w:r w:rsidR="00C92AFD" w:rsidRPr="00046199">
        <w:rPr>
          <w:rFonts w:cs="Arial"/>
          <w:szCs w:val="24"/>
        </w:rPr>
        <w:t>hase 1 On-street Residential Chargepoint Scheme successfully delivered in May 2021</w:t>
      </w:r>
      <w:r w:rsidR="00316C87" w:rsidRPr="00046199">
        <w:rPr>
          <w:rFonts w:cs="Arial"/>
          <w:szCs w:val="24"/>
        </w:rPr>
        <w:t>, and 1 rapid charge point</w:t>
      </w:r>
      <w:r w:rsidR="00642419" w:rsidRPr="00046199">
        <w:rPr>
          <w:rFonts w:cs="Arial"/>
          <w:szCs w:val="24"/>
        </w:rPr>
        <w:t xml:space="preserve"> commissioned in March 2023</w:t>
      </w:r>
      <w:r w:rsidR="007C18D5" w:rsidRPr="00046199">
        <w:rPr>
          <w:rFonts w:cs="Arial"/>
          <w:szCs w:val="24"/>
        </w:rPr>
        <w:t>.</w:t>
      </w:r>
      <w:r w:rsidR="00C92AFD" w:rsidRPr="00046199">
        <w:rPr>
          <w:rFonts w:cs="Arial"/>
          <w:szCs w:val="24"/>
        </w:rPr>
        <w:t xml:space="preserve">Usage has been demonstrably strong with increased demand over successive quarters. </w:t>
      </w:r>
      <w:r w:rsidR="006F093E" w:rsidRPr="00046199">
        <w:rPr>
          <w:rFonts w:cs="Arial"/>
          <w:szCs w:val="24"/>
        </w:rPr>
        <w:t xml:space="preserve">Current </w:t>
      </w:r>
      <w:r w:rsidR="00C92AFD" w:rsidRPr="00046199">
        <w:rPr>
          <w:rFonts w:cs="Arial"/>
          <w:szCs w:val="24"/>
        </w:rPr>
        <w:t xml:space="preserve">charging session </w:t>
      </w:r>
      <w:r w:rsidRPr="00046199">
        <w:rPr>
          <w:rFonts w:cs="Arial"/>
          <w:szCs w:val="24"/>
        </w:rPr>
        <w:t>times are</w:t>
      </w:r>
      <w:r w:rsidR="006F093E" w:rsidRPr="00046199">
        <w:rPr>
          <w:rFonts w:cs="Arial"/>
          <w:szCs w:val="24"/>
        </w:rPr>
        <w:t xml:space="preserve"> </w:t>
      </w:r>
      <w:r w:rsidR="00C92AFD" w:rsidRPr="00046199">
        <w:rPr>
          <w:rFonts w:cs="Arial"/>
          <w:szCs w:val="24"/>
        </w:rPr>
        <w:t>spread across various times of day and night</w:t>
      </w:r>
      <w:r w:rsidR="006F093E" w:rsidRPr="00046199">
        <w:rPr>
          <w:rFonts w:cs="Arial"/>
          <w:szCs w:val="24"/>
        </w:rPr>
        <w:t>, averaging 7hrs 53mins.</w:t>
      </w:r>
    </w:p>
    <w:p w14:paraId="72501737" w14:textId="0917392E" w:rsidR="00C92AFD" w:rsidRPr="00046199" w:rsidRDefault="00C92AFD" w:rsidP="00C92AFD">
      <w:pPr>
        <w:jc w:val="both"/>
        <w:rPr>
          <w:i/>
          <w:iCs/>
          <w:szCs w:val="24"/>
        </w:rPr>
      </w:pPr>
    </w:p>
    <w:p w14:paraId="68457762" w14:textId="6B94C0BE" w:rsidR="00C92AFD" w:rsidRPr="00046199" w:rsidRDefault="00046199" w:rsidP="00C92AFD">
      <w:pPr>
        <w:jc w:val="both"/>
        <w:rPr>
          <w:szCs w:val="24"/>
        </w:rPr>
      </w:pPr>
      <w:r w:rsidRPr="00046199">
        <w:rPr>
          <w:szCs w:val="24"/>
        </w:rPr>
        <w:t xml:space="preserve">2.7 </w:t>
      </w:r>
      <w:r w:rsidR="00C92AFD" w:rsidRPr="00046199">
        <w:rPr>
          <w:szCs w:val="24"/>
        </w:rPr>
        <w:t xml:space="preserve">It is anticipated that by 2035 100% of new car and van sales will be </w:t>
      </w:r>
      <w:r w:rsidR="00704A92" w:rsidRPr="00046199">
        <w:rPr>
          <w:szCs w:val="24"/>
        </w:rPr>
        <w:t>e</w:t>
      </w:r>
      <w:r w:rsidR="00C92AFD" w:rsidRPr="00046199">
        <w:rPr>
          <w:szCs w:val="24"/>
        </w:rPr>
        <w:t>lectric to meet the government</w:t>
      </w:r>
      <w:r w:rsidR="00704A92" w:rsidRPr="00046199">
        <w:rPr>
          <w:szCs w:val="24"/>
        </w:rPr>
        <w:t>’</w:t>
      </w:r>
      <w:r w:rsidR="00C92AFD" w:rsidRPr="00046199">
        <w:rPr>
          <w:szCs w:val="24"/>
        </w:rPr>
        <w:t xml:space="preserve">s net zero by 2050 target.  The Climate Change Committee has recommended that if the UK is to meet the 2050 net zero target, 100% of new vehicle sales should be electrically propelled by 2035 at the latest (and ideally by 2030). </w:t>
      </w:r>
    </w:p>
    <w:p w14:paraId="7C9B74B4" w14:textId="0CE5AE69" w:rsidR="00C92AFD" w:rsidRPr="00046199" w:rsidRDefault="00C92AFD" w:rsidP="00C92AFD">
      <w:pPr>
        <w:jc w:val="both"/>
        <w:rPr>
          <w:szCs w:val="24"/>
        </w:rPr>
      </w:pPr>
    </w:p>
    <w:p w14:paraId="0B5A441C" w14:textId="52C9D127" w:rsidR="00C92AFD" w:rsidRPr="00046199" w:rsidRDefault="00046199" w:rsidP="00C92AFD">
      <w:pPr>
        <w:jc w:val="both"/>
        <w:rPr>
          <w:szCs w:val="24"/>
        </w:rPr>
      </w:pPr>
      <w:r w:rsidRPr="00046199">
        <w:rPr>
          <w:szCs w:val="24"/>
        </w:rPr>
        <w:t xml:space="preserve">2.8 </w:t>
      </w:r>
      <w:r w:rsidR="00C92AFD" w:rsidRPr="00046199">
        <w:rPr>
          <w:szCs w:val="24"/>
        </w:rPr>
        <w:t>The focus of Harrow’s electric vehicle</w:t>
      </w:r>
      <w:r w:rsidR="00CD1D4A" w:rsidRPr="00046199">
        <w:rPr>
          <w:szCs w:val="24"/>
        </w:rPr>
        <w:t xml:space="preserve"> </w:t>
      </w:r>
      <w:r w:rsidR="00C92AFD" w:rsidRPr="00046199">
        <w:rPr>
          <w:szCs w:val="24"/>
        </w:rPr>
        <w:t>programme is to exp</w:t>
      </w:r>
      <w:r w:rsidR="00CD1D4A" w:rsidRPr="00046199">
        <w:rPr>
          <w:szCs w:val="24"/>
        </w:rPr>
        <w:t>and</w:t>
      </w:r>
      <w:r w:rsidR="00C92AFD" w:rsidRPr="00046199">
        <w:rPr>
          <w:szCs w:val="24"/>
        </w:rPr>
        <w:t xml:space="preserve"> EV charge point installations as demand from residents is high. Residents are encouraged to register requests for </w:t>
      </w:r>
      <w:r w:rsidR="009B6068" w:rsidRPr="00046199">
        <w:rPr>
          <w:szCs w:val="24"/>
        </w:rPr>
        <w:t xml:space="preserve">residential on-street </w:t>
      </w:r>
      <w:r w:rsidR="00C92AFD" w:rsidRPr="00046199">
        <w:rPr>
          <w:szCs w:val="24"/>
        </w:rPr>
        <w:t xml:space="preserve">EV charging via the Harrow Council website. </w:t>
      </w:r>
    </w:p>
    <w:p w14:paraId="1B40A18D" w14:textId="77777777" w:rsidR="001861F5" w:rsidRDefault="001861F5" w:rsidP="00C92AFD">
      <w:pPr>
        <w:jc w:val="both"/>
        <w:rPr>
          <w:b/>
          <w:bCs/>
          <w:sz w:val="22"/>
          <w:szCs w:val="22"/>
          <w:u w:val="single"/>
        </w:rPr>
      </w:pPr>
    </w:p>
    <w:p w14:paraId="67B70176" w14:textId="7865D7E6" w:rsidR="00351F1E" w:rsidRPr="005E158A" w:rsidRDefault="00351F1E" w:rsidP="00351F1E">
      <w:pPr>
        <w:pStyle w:val="Heading2"/>
        <w:rPr>
          <w:rFonts w:ascii="Arial" w:hAnsi="Arial"/>
          <w:sz w:val="28"/>
          <w:szCs w:val="28"/>
        </w:rPr>
      </w:pPr>
      <w:r w:rsidRPr="005E158A">
        <w:rPr>
          <w:rFonts w:ascii="Arial" w:hAnsi="Arial"/>
          <w:sz w:val="28"/>
          <w:szCs w:val="28"/>
        </w:rPr>
        <w:t>Current situation</w:t>
      </w:r>
    </w:p>
    <w:p w14:paraId="712B5F55" w14:textId="77777777" w:rsidR="00BB3609" w:rsidRPr="005E158A" w:rsidRDefault="00BB3609" w:rsidP="005E158A"/>
    <w:p w14:paraId="683A3EE7" w14:textId="77777777" w:rsidR="00F30943" w:rsidRPr="00046199" w:rsidRDefault="006000C3" w:rsidP="006000C3">
      <w:pPr>
        <w:jc w:val="both"/>
        <w:rPr>
          <w:b/>
          <w:bCs/>
          <w:szCs w:val="24"/>
          <w:u w:val="single"/>
        </w:rPr>
      </w:pPr>
      <w:r w:rsidRPr="00046199">
        <w:rPr>
          <w:b/>
          <w:bCs/>
          <w:szCs w:val="24"/>
          <w:u w:val="single"/>
        </w:rPr>
        <w:t xml:space="preserve">Harrow overview </w:t>
      </w:r>
    </w:p>
    <w:p w14:paraId="7D0BC5F9" w14:textId="77777777" w:rsidR="00F30943" w:rsidRPr="00046199" w:rsidRDefault="00F30943" w:rsidP="006000C3">
      <w:pPr>
        <w:jc w:val="both"/>
        <w:rPr>
          <w:b/>
          <w:bCs/>
          <w:szCs w:val="24"/>
          <w:u w:val="single"/>
        </w:rPr>
      </w:pPr>
    </w:p>
    <w:p w14:paraId="2449B6C7" w14:textId="3703B2D9" w:rsidR="00F30943" w:rsidRPr="00046199" w:rsidRDefault="00046199" w:rsidP="00A2188E">
      <w:pPr>
        <w:jc w:val="both"/>
        <w:rPr>
          <w:szCs w:val="24"/>
        </w:rPr>
      </w:pPr>
      <w:r w:rsidRPr="00046199">
        <w:rPr>
          <w:szCs w:val="24"/>
        </w:rPr>
        <w:t xml:space="preserve">2.9 </w:t>
      </w:r>
      <w:r w:rsidR="004D3131" w:rsidRPr="00046199">
        <w:rPr>
          <w:szCs w:val="24"/>
        </w:rPr>
        <w:t xml:space="preserve">The current mix of charging provision in Harrow, both public and private, along with the number of local electric vehicles registered </w:t>
      </w:r>
      <w:r w:rsidR="00AF5F6D" w:rsidRPr="00046199">
        <w:rPr>
          <w:szCs w:val="24"/>
        </w:rPr>
        <w:t>in the borough</w:t>
      </w:r>
      <w:r w:rsidR="001454CD" w:rsidRPr="00046199">
        <w:rPr>
          <w:szCs w:val="24"/>
        </w:rPr>
        <w:t>, is s</w:t>
      </w:r>
      <w:r w:rsidR="004D3131" w:rsidRPr="00046199">
        <w:rPr>
          <w:szCs w:val="24"/>
        </w:rPr>
        <w:t xml:space="preserve">ummarised on the following slide. </w:t>
      </w:r>
      <w:r w:rsidR="00AF5F6D" w:rsidRPr="00046199">
        <w:rPr>
          <w:szCs w:val="24"/>
        </w:rPr>
        <w:t xml:space="preserve">The types of electric vehicle shown are BEV Battery Electric Vehicle (BEV); Battery Electric Vehicle + Range Extender (REX), and Plug-in Hybrid Electric Vehicle (PHEV). </w:t>
      </w:r>
    </w:p>
    <w:p w14:paraId="2D5186AB" w14:textId="77777777" w:rsidR="007D7F3E" w:rsidRDefault="007D7F3E" w:rsidP="00A2188E">
      <w:pPr>
        <w:jc w:val="both"/>
        <w:rPr>
          <w:b/>
          <w:bCs/>
          <w:color w:val="FF0000"/>
          <w:sz w:val="22"/>
          <w:szCs w:val="22"/>
        </w:rPr>
      </w:pPr>
    </w:p>
    <w:p w14:paraId="4E6FF28C" w14:textId="46CFF1EE" w:rsidR="007D7F3E" w:rsidRDefault="007D7F3E" w:rsidP="00A2188E">
      <w:pPr>
        <w:jc w:val="both"/>
        <w:rPr>
          <w:b/>
          <w:bCs/>
          <w:color w:val="FF0000"/>
          <w:sz w:val="22"/>
          <w:szCs w:val="22"/>
        </w:rPr>
      </w:pPr>
    </w:p>
    <w:p w14:paraId="31535666" w14:textId="3B8A35F5" w:rsidR="00D94D26" w:rsidRDefault="004D3131" w:rsidP="00A2188E">
      <w:pPr>
        <w:jc w:val="both"/>
        <w:rPr>
          <w:b/>
          <w:bCs/>
          <w:color w:val="FF0000"/>
          <w:sz w:val="22"/>
          <w:szCs w:val="22"/>
        </w:rPr>
      </w:pPr>
      <w:r>
        <w:rPr>
          <w:noProof/>
        </w:rPr>
        <w:drawing>
          <wp:inline distT="0" distB="0" distL="0" distR="0" wp14:anchorId="4C7E77FF" wp14:editId="495E66E4">
            <wp:extent cx="5276215" cy="296799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215" cy="2967990"/>
                    </a:xfrm>
                    <a:prstGeom prst="rect">
                      <a:avLst/>
                    </a:prstGeom>
                    <a:noFill/>
                    <a:ln>
                      <a:noFill/>
                    </a:ln>
                  </pic:spPr>
                </pic:pic>
              </a:graphicData>
            </a:graphic>
          </wp:inline>
        </w:drawing>
      </w:r>
    </w:p>
    <w:p w14:paraId="5E60A841" w14:textId="77777777" w:rsidR="00D94D26" w:rsidRDefault="00D94D26" w:rsidP="00A2188E">
      <w:pPr>
        <w:jc w:val="both"/>
        <w:rPr>
          <w:b/>
          <w:bCs/>
          <w:color w:val="FF0000"/>
          <w:sz w:val="22"/>
          <w:szCs w:val="22"/>
        </w:rPr>
      </w:pPr>
    </w:p>
    <w:p w14:paraId="0211DF4B" w14:textId="77777777" w:rsidR="007F6F91" w:rsidRDefault="007F6F91" w:rsidP="00D94D26">
      <w:pPr>
        <w:spacing w:after="160" w:line="259" w:lineRule="auto"/>
        <w:rPr>
          <w:b/>
          <w:bCs/>
          <w:szCs w:val="24"/>
        </w:rPr>
      </w:pPr>
    </w:p>
    <w:p w14:paraId="35703780" w14:textId="77777777" w:rsidR="007F6F91" w:rsidRDefault="007F6F91" w:rsidP="00D94D26">
      <w:pPr>
        <w:spacing w:after="160" w:line="259" w:lineRule="auto"/>
        <w:rPr>
          <w:b/>
          <w:bCs/>
          <w:szCs w:val="24"/>
        </w:rPr>
      </w:pPr>
    </w:p>
    <w:p w14:paraId="637B55DC" w14:textId="02B00303" w:rsidR="00D94D26" w:rsidRPr="00046199" w:rsidRDefault="00D94D26" w:rsidP="00D94D26">
      <w:pPr>
        <w:spacing w:after="160" w:line="259" w:lineRule="auto"/>
        <w:rPr>
          <w:b/>
          <w:bCs/>
          <w:szCs w:val="24"/>
        </w:rPr>
      </w:pPr>
      <w:r w:rsidRPr="00046199">
        <w:rPr>
          <w:b/>
          <w:bCs/>
          <w:szCs w:val="24"/>
        </w:rPr>
        <w:t>Projected EVI requirement for Cars and LGV’s in Harrow</w:t>
      </w:r>
    </w:p>
    <w:p w14:paraId="09DCD31A" w14:textId="69A53089" w:rsidR="001454CD" w:rsidRPr="00046199" w:rsidRDefault="00046199" w:rsidP="00D94D26">
      <w:pPr>
        <w:spacing w:after="160" w:line="259" w:lineRule="auto"/>
        <w:rPr>
          <w:szCs w:val="24"/>
        </w:rPr>
      </w:pPr>
      <w:r w:rsidRPr="00046199">
        <w:rPr>
          <w:szCs w:val="24"/>
        </w:rPr>
        <w:t xml:space="preserve">2.10 </w:t>
      </w:r>
      <w:r w:rsidR="001454CD" w:rsidRPr="00046199">
        <w:rPr>
          <w:szCs w:val="24"/>
        </w:rPr>
        <w:t xml:space="preserve">Initial data from Cenex for the borough indicates that a substantial and sustained programme of expansion of EV charging provision will be required to meet future demand through to 2030. This data and the mix and locations of </w:t>
      </w:r>
      <w:r w:rsidR="003A1511" w:rsidRPr="00046199">
        <w:rPr>
          <w:szCs w:val="24"/>
        </w:rPr>
        <w:t>demand, will</w:t>
      </w:r>
      <w:r w:rsidR="001454CD" w:rsidRPr="00046199">
        <w:rPr>
          <w:szCs w:val="24"/>
        </w:rPr>
        <w:t xml:space="preserve"> be further explored and modelled through the Council’s EV Strategy.</w:t>
      </w:r>
    </w:p>
    <w:p w14:paraId="001238AB" w14:textId="138FABE5" w:rsidR="00D94D26" w:rsidRPr="006C7127" w:rsidRDefault="00D94D26" w:rsidP="00D94D26">
      <w:pPr>
        <w:spacing w:after="160" w:line="259" w:lineRule="auto"/>
        <w:rPr>
          <w:b/>
          <w:bCs/>
          <w:szCs w:val="24"/>
        </w:rPr>
      </w:pPr>
      <w:r w:rsidRPr="006C7127">
        <w:rPr>
          <w:rFonts w:asciiTheme="minorHAnsi" w:eastAsiaTheme="minorHAnsi" w:hAnsiTheme="minorHAnsi" w:cstheme="minorBidi"/>
          <w:noProof/>
          <w:szCs w:val="24"/>
        </w:rPr>
        <w:drawing>
          <wp:anchor distT="0" distB="0" distL="114300" distR="114300" simplePos="0" relativeHeight="251658240" behindDoc="0" locked="0" layoutInCell="1" allowOverlap="1" wp14:anchorId="78689759" wp14:editId="3E5E1563">
            <wp:simplePos x="457200" y="1028700"/>
            <wp:positionH relativeFrom="column">
              <wp:align>left</wp:align>
            </wp:positionH>
            <wp:positionV relativeFrom="paragraph">
              <wp:align>top</wp:align>
            </wp:positionV>
            <wp:extent cx="5962650" cy="356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280" t="22262" r="12551" b="1845"/>
                    <a:stretch/>
                  </pic:blipFill>
                  <pic:spPr bwMode="auto">
                    <a:xfrm>
                      <a:off x="0" y="0"/>
                      <a:ext cx="5962650" cy="3568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22D8" w:rsidRPr="006C7127">
        <w:rPr>
          <w:b/>
          <w:bCs/>
          <w:szCs w:val="24"/>
        </w:rPr>
        <w:t xml:space="preserve">2.11 </w:t>
      </w:r>
      <w:r w:rsidRPr="006C7127">
        <w:rPr>
          <w:b/>
          <w:bCs/>
          <w:szCs w:val="24"/>
        </w:rPr>
        <w:t>Data summary</w:t>
      </w:r>
    </w:p>
    <w:tbl>
      <w:tblPr>
        <w:tblW w:w="4520" w:type="dxa"/>
        <w:tblLook w:val="04A0" w:firstRow="1" w:lastRow="0" w:firstColumn="1" w:lastColumn="0" w:noHBand="0" w:noVBand="1"/>
      </w:tblPr>
      <w:tblGrid>
        <w:gridCol w:w="1620"/>
        <w:gridCol w:w="1560"/>
        <w:gridCol w:w="1340"/>
      </w:tblGrid>
      <w:tr w:rsidR="00D94D26" w:rsidRPr="00D94D26" w14:paraId="47F57ECA" w14:textId="77777777">
        <w:trPr>
          <w:trHeight w:val="290"/>
        </w:trPr>
        <w:tc>
          <w:tcPr>
            <w:tcW w:w="1620" w:type="dxa"/>
            <w:tcBorders>
              <w:top w:val="single" w:sz="4" w:space="0" w:color="9BC2E6"/>
              <w:left w:val="single" w:sz="4" w:space="0" w:color="9BC2E6"/>
              <w:bottom w:val="single" w:sz="4" w:space="0" w:color="9BC2E6"/>
              <w:right w:val="nil"/>
            </w:tcBorders>
            <w:shd w:val="clear" w:color="5B9BD5" w:fill="5B9BD5"/>
            <w:noWrap/>
            <w:vAlign w:val="bottom"/>
            <w:hideMark/>
          </w:tcPr>
          <w:p w14:paraId="56149D0F" w14:textId="77777777" w:rsidR="00D94D26" w:rsidRPr="00D94D26" w:rsidRDefault="00D94D26" w:rsidP="00D94D26">
            <w:pPr>
              <w:rPr>
                <w:rFonts w:ascii="Calibri" w:hAnsi="Calibri" w:cs="Calibri"/>
                <w:b/>
                <w:bCs/>
                <w:color w:val="FFFFFF"/>
                <w:sz w:val="22"/>
                <w:szCs w:val="22"/>
                <w:lang w:eastAsia="en-GB"/>
              </w:rPr>
            </w:pPr>
            <w:r w:rsidRPr="00D94D26">
              <w:rPr>
                <w:rFonts w:ascii="Calibri" w:hAnsi="Calibri" w:cs="Calibri"/>
                <w:b/>
                <w:bCs/>
                <w:color w:val="FFFFFF"/>
                <w:sz w:val="22"/>
                <w:szCs w:val="22"/>
                <w:lang w:eastAsia="en-GB"/>
              </w:rPr>
              <w:t>'Years in dataset'[Year]</w:t>
            </w:r>
          </w:p>
        </w:tc>
        <w:tc>
          <w:tcPr>
            <w:tcW w:w="1560" w:type="dxa"/>
            <w:tcBorders>
              <w:top w:val="single" w:sz="4" w:space="0" w:color="9BC2E6"/>
              <w:left w:val="nil"/>
              <w:bottom w:val="single" w:sz="4" w:space="0" w:color="9BC2E6"/>
              <w:right w:val="nil"/>
            </w:tcBorders>
            <w:shd w:val="clear" w:color="5B9BD5" w:fill="5B9BD5"/>
            <w:noWrap/>
            <w:vAlign w:val="bottom"/>
            <w:hideMark/>
          </w:tcPr>
          <w:p w14:paraId="6FDA3758" w14:textId="77777777" w:rsidR="00D94D26" w:rsidRPr="00D94D26" w:rsidRDefault="00D94D26" w:rsidP="00D94D26">
            <w:pPr>
              <w:rPr>
                <w:rFonts w:ascii="Calibri" w:hAnsi="Calibri" w:cs="Calibri"/>
                <w:b/>
                <w:bCs/>
                <w:color w:val="FFFFFF"/>
                <w:sz w:val="22"/>
                <w:szCs w:val="22"/>
                <w:lang w:eastAsia="en-GB"/>
              </w:rPr>
            </w:pPr>
            <w:r w:rsidRPr="00D94D26">
              <w:rPr>
                <w:rFonts w:ascii="Calibri" w:hAnsi="Calibri" w:cs="Calibri"/>
                <w:b/>
                <w:bCs/>
                <w:color w:val="FFFFFF"/>
                <w:sz w:val="22"/>
                <w:szCs w:val="22"/>
                <w:lang w:eastAsia="en-GB"/>
              </w:rPr>
              <w:t>Number of sockets</w:t>
            </w:r>
          </w:p>
        </w:tc>
        <w:tc>
          <w:tcPr>
            <w:tcW w:w="1340" w:type="dxa"/>
            <w:tcBorders>
              <w:top w:val="single" w:sz="4" w:space="0" w:color="9BC2E6"/>
              <w:left w:val="nil"/>
              <w:bottom w:val="single" w:sz="4" w:space="0" w:color="9BC2E6"/>
              <w:right w:val="single" w:sz="4" w:space="0" w:color="9BC2E6"/>
            </w:tcBorders>
            <w:shd w:val="clear" w:color="5B9BD5" w:fill="5B9BD5"/>
            <w:noWrap/>
            <w:vAlign w:val="bottom"/>
            <w:hideMark/>
          </w:tcPr>
          <w:p w14:paraId="218A0BDA" w14:textId="77777777" w:rsidR="00D94D26" w:rsidRPr="00D94D26" w:rsidRDefault="00D94D26" w:rsidP="00D94D26">
            <w:pPr>
              <w:rPr>
                <w:rFonts w:ascii="Calibri" w:hAnsi="Calibri" w:cs="Calibri"/>
                <w:b/>
                <w:bCs/>
                <w:color w:val="FFFFFF"/>
                <w:sz w:val="22"/>
                <w:szCs w:val="22"/>
                <w:lang w:eastAsia="en-GB"/>
              </w:rPr>
            </w:pPr>
            <w:r w:rsidRPr="00D94D26">
              <w:rPr>
                <w:rFonts w:ascii="Calibri" w:hAnsi="Calibri" w:cs="Calibri"/>
                <w:b/>
                <w:bCs/>
                <w:color w:val="FFFFFF"/>
                <w:sz w:val="22"/>
                <w:szCs w:val="22"/>
                <w:lang w:eastAsia="en-GB"/>
              </w:rPr>
              <w:t>EVI type</w:t>
            </w:r>
          </w:p>
        </w:tc>
      </w:tr>
      <w:tr w:rsidR="00D94D26" w:rsidRPr="00D94D26" w14:paraId="3589D537" w14:textId="77777777">
        <w:trPr>
          <w:trHeight w:val="290"/>
        </w:trPr>
        <w:tc>
          <w:tcPr>
            <w:tcW w:w="1620" w:type="dxa"/>
            <w:tcBorders>
              <w:top w:val="single" w:sz="4" w:space="0" w:color="9BC2E6"/>
              <w:left w:val="single" w:sz="4" w:space="0" w:color="9BC2E6"/>
              <w:bottom w:val="single" w:sz="4" w:space="0" w:color="9BC2E6"/>
              <w:right w:val="nil"/>
            </w:tcBorders>
            <w:shd w:val="clear" w:color="DDEBF7" w:fill="DDEBF7"/>
            <w:noWrap/>
            <w:vAlign w:val="bottom"/>
            <w:hideMark/>
          </w:tcPr>
          <w:p w14:paraId="300DE7FF"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2030</w:t>
            </w:r>
          </w:p>
        </w:tc>
        <w:tc>
          <w:tcPr>
            <w:tcW w:w="1560" w:type="dxa"/>
            <w:tcBorders>
              <w:top w:val="single" w:sz="4" w:space="0" w:color="9BC2E6"/>
              <w:left w:val="nil"/>
              <w:bottom w:val="single" w:sz="4" w:space="0" w:color="9BC2E6"/>
              <w:right w:val="nil"/>
            </w:tcBorders>
            <w:shd w:val="clear" w:color="DDEBF7" w:fill="DDEBF7"/>
            <w:noWrap/>
            <w:vAlign w:val="bottom"/>
            <w:hideMark/>
          </w:tcPr>
          <w:p w14:paraId="2089E899"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1,078</w:t>
            </w:r>
          </w:p>
        </w:tc>
        <w:tc>
          <w:tcPr>
            <w:tcW w:w="1340" w:type="dxa"/>
            <w:tcBorders>
              <w:top w:val="single" w:sz="4" w:space="0" w:color="9BC2E6"/>
              <w:left w:val="nil"/>
              <w:bottom w:val="single" w:sz="4" w:space="0" w:color="9BC2E6"/>
              <w:right w:val="single" w:sz="4" w:space="0" w:color="9BC2E6"/>
            </w:tcBorders>
            <w:shd w:val="clear" w:color="DDEBF7" w:fill="DDEBF7"/>
            <w:noWrap/>
            <w:vAlign w:val="bottom"/>
            <w:hideMark/>
          </w:tcPr>
          <w:p w14:paraId="65ACE995" w14:textId="77777777" w:rsidR="00D94D26" w:rsidRPr="00D94D26" w:rsidRDefault="00D94D26" w:rsidP="00D94D26">
            <w:pPr>
              <w:rPr>
                <w:rFonts w:ascii="Calibri" w:hAnsi="Calibri" w:cs="Calibri"/>
                <w:color w:val="000000"/>
                <w:sz w:val="22"/>
                <w:szCs w:val="22"/>
                <w:lang w:eastAsia="en-GB"/>
              </w:rPr>
            </w:pPr>
            <w:r w:rsidRPr="00D94D26">
              <w:rPr>
                <w:rFonts w:ascii="Calibri" w:hAnsi="Calibri" w:cs="Calibri"/>
                <w:color w:val="000000"/>
                <w:sz w:val="22"/>
                <w:szCs w:val="22"/>
                <w:lang w:eastAsia="en-GB"/>
              </w:rPr>
              <w:t>Standard</w:t>
            </w:r>
          </w:p>
        </w:tc>
      </w:tr>
      <w:tr w:rsidR="00D94D26" w:rsidRPr="00D94D26" w14:paraId="2B94903D" w14:textId="77777777">
        <w:trPr>
          <w:trHeight w:val="290"/>
        </w:trPr>
        <w:tc>
          <w:tcPr>
            <w:tcW w:w="1620" w:type="dxa"/>
            <w:tcBorders>
              <w:top w:val="single" w:sz="4" w:space="0" w:color="9BC2E6"/>
              <w:left w:val="single" w:sz="4" w:space="0" w:color="9BC2E6"/>
              <w:bottom w:val="single" w:sz="4" w:space="0" w:color="9BC2E6"/>
              <w:right w:val="nil"/>
            </w:tcBorders>
            <w:shd w:val="clear" w:color="auto" w:fill="auto"/>
            <w:noWrap/>
            <w:vAlign w:val="bottom"/>
            <w:hideMark/>
          </w:tcPr>
          <w:p w14:paraId="03C581E4"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2030</w:t>
            </w:r>
          </w:p>
        </w:tc>
        <w:tc>
          <w:tcPr>
            <w:tcW w:w="1560" w:type="dxa"/>
            <w:tcBorders>
              <w:top w:val="single" w:sz="4" w:space="0" w:color="9BC2E6"/>
              <w:left w:val="nil"/>
              <w:bottom w:val="single" w:sz="4" w:space="0" w:color="9BC2E6"/>
              <w:right w:val="nil"/>
            </w:tcBorders>
            <w:shd w:val="clear" w:color="auto" w:fill="auto"/>
            <w:noWrap/>
            <w:vAlign w:val="bottom"/>
            <w:hideMark/>
          </w:tcPr>
          <w:p w14:paraId="4B14B250"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83</w:t>
            </w:r>
          </w:p>
        </w:tc>
        <w:tc>
          <w:tcPr>
            <w:tcW w:w="1340" w:type="dxa"/>
            <w:tcBorders>
              <w:top w:val="single" w:sz="4" w:space="0" w:color="9BC2E6"/>
              <w:left w:val="nil"/>
              <w:bottom w:val="single" w:sz="4" w:space="0" w:color="9BC2E6"/>
              <w:right w:val="single" w:sz="4" w:space="0" w:color="9BC2E6"/>
            </w:tcBorders>
            <w:shd w:val="clear" w:color="auto" w:fill="auto"/>
            <w:noWrap/>
            <w:vAlign w:val="bottom"/>
            <w:hideMark/>
          </w:tcPr>
          <w:p w14:paraId="74098086" w14:textId="77777777" w:rsidR="00D94D26" w:rsidRPr="00D94D26" w:rsidRDefault="00D94D26" w:rsidP="00D94D26">
            <w:pPr>
              <w:rPr>
                <w:rFonts w:ascii="Calibri" w:hAnsi="Calibri" w:cs="Calibri"/>
                <w:color w:val="000000"/>
                <w:sz w:val="22"/>
                <w:szCs w:val="22"/>
                <w:lang w:eastAsia="en-GB"/>
              </w:rPr>
            </w:pPr>
            <w:r w:rsidRPr="00D94D26">
              <w:rPr>
                <w:rFonts w:ascii="Calibri" w:hAnsi="Calibri" w:cs="Calibri"/>
                <w:color w:val="000000"/>
                <w:sz w:val="22"/>
                <w:szCs w:val="22"/>
                <w:lang w:eastAsia="en-GB"/>
              </w:rPr>
              <w:t>Fast</w:t>
            </w:r>
          </w:p>
        </w:tc>
      </w:tr>
      <w:tr w:rsidR="00D94D26" w:rsidRPr="00D94D26" w14:paraId="2220F088" w14:textId="77777777">
        <w:trPr>
          <w:trHeight w:val="290"/>
        </w:trPr>
        <w:tc>
          <w:tcPr>
            <w:tcW w:w="1620" w:type="dxa"/>
            <w:tcBorders>
              <w:top w:val="single" w:sz="4" w:space="0" w:color="9BC2E6"/>
              <w:left w:val="single" w:sz="4" w:space="0" w:color="9BC2E6"/>
              <w:bottom w:val="single" w:sz="4" w:space="0" w:color="9BC2E6"/>
              <w:right w:val="nil"/>
            </w:tcBorders>
            <w:shd w:val="clear" w:color="DDEBF7" w:fill="DDEBF7"/>
            <w:noWrap/>
            <w:vAlign w:val="bottom"/>
            <w:hideMark/>
          </w:tcPr>
          <w:p w14:paraId="7D6E3BDD"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2030</w:t>
            </w:r>
          </w:p>
        </w:tc>
        <w:tc>
          <w:tcPr>
            <w:tcW w:w="1560" w:type="dxa"/>
            <w:tcBorders>
              <w:top w:val="single" w:sz="4" w:space="0" w:color="9BC2E6"/>
              <w:left w:val="nil"/>
              <w:bottom w:val="single" w:sz="4" w:space="0" w:color="9BC2E6"/>
              <w:right w:val="nil"/>
            </w:tcBorders>
            <w:shd w:val="clear" w:color="DDEBF7" w:fill="DDEBF7"/>
            <w:noWrap/>
            <w:vAlign w:val="bottom"/>
            <w:hideMark/>
          </w:tcPr>
          <w:p w14:paraId="08FB86F9"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53</w:t>
            </w:r>
          </w:p>
        </w:tc>
        <w:tc>
          <w:tcPr>
            <w:tcW w:w="1340" w:type="dxa"/>
            <w:tcBorders>
              <w:top w:val="single" w:sz="4" w:space="0" w:color="9BC2E6"/>
              <w:left w:val="nil"/>
              <w:bottom w:val="single" w:sz="4" w:space="0" w:color="9BC2E6"/>
              <w:right w:val="single" w:sz="4" w:space="0" w:color="9BC2E6"/>
            </w:tcBorders>
            <w:shd w:val="clear" w:color="DDEBF7" w:fill="DDEBF7"/>
            <w:noWrap/>
            <w:vAlign w:val="bottom"/>
            <w:hideMark/>
          </w:tcPr>
          <w:p w14:paraId="3475B156" w14:textId="77777777" w:rsidR="00D94D26" w:rsidRPr="00D94D26" w:rsidRDefault="00D94D26" w:rsidP="00D94D26">
            <w:pPr>
              <w:rPr>
                <w:rFonts w:ascii="Calibri" w:hAnsi="Calibri" w:cs="Calibri"/>
                <w:color w:val="000000"/>
                <w:sz w:val="22"/>
                <w:szCs w:val="22"/>
                <w:lang w:eastAsia="en-GB"/>
              </w:rPr>
            </w:pPr>
            <w:r w:rsidRPr="00D94D26">
              <w:rPr>
                <w:rFonts w:ascii="Calibri" w:hAnsi="Calibri" w:cs="Calibri"/>
                <w:color w:val="000000"/>
                <w:sz w:val="22"/>
                <w:szCs w:val="22"/>
                <w:lang w:eastAsia="en-GB"/>
              </w:rPr>
              <w:t>Ultra-Rapid</w:t>
            </w:r>
          </w:p>
        </w:tc>
      </w:tr>
      <w:tr w:rsidR="00D94D26" w:rsidRPr="00D94D26" w14:paraId="393D1C04" w14:textId="77777777">
        <w:trPr>
          <w:trHeight w:val="290"/>
        </w:trPr>
        <w:tc>
          <w:tcPr>
            <w:tcW w:w="1620" w:type="dxa"/>
            <w:tcBorders>
              <w:top w:val="single" w:sz="4" w:space="0" w:color="9BC2E6"/>
              <w:left w:val="single" w:sz="4" w:space="0" w:color="9BC2E6"/>
              <w:bottom w:val="single" w:sz="4" w:space="0" w:color="9BC2E6"/>
              <w:right w:val="nil"/>
            </w:tcBorders>
            <w:shd w:val="clear" w:color="auto" w:fill="auto"/>
            <w:noWrap/>
            <w:vAlign w:val="bottom"/>
            <w:hideMark/>
          </w:tcPr>
          <w:p w14:paraId="64B86566"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2030</w:t>
            </w:r>
          </w:p>
        </w:tc>
        <w:tc>
          <w:tcPr>
            <w:tcW w:w="1560" w:type="dxa"/>
            <w:tcBorders>
              <w:top w:val="single" w:sz="4" w:space="0" w:color="9BC2E6"/>
              <w:left w:val="nil"/>
              <w:bottom w:val="single" w:sz="4" w:space="0" w:color="9BC2E6"/>
              <w:right w:val="nil"/>
            </w:tcBorders>
            <w:shd w:val="clear" w:color="auto" w:fill="auto"/>
            <w:noWrap/>
            <w:vAlign w:val="bottom"/>
            <w:hideMark/>
          </w:tcPr>
          <w:p w14:paraId="1116EBA6" w14:textId="77777777" w:rsidR="00D94D26" w:rsidRPr="00D94D26" w:rsidRDefault="00D94D26" w:rsidP="00D94D26">
            <w:pPr>
              <w:jc w:val="right"/>
              <w:rPr>
                <w:rFonts w:ascii="Calibri" w:hAnsi="Calibri" w:cs="Calibri"/>
                <w:color w:val="000000"/>
                <w:sz w:val="22"/>
                <w:szCs w:val="22"/>
                <w:lang w:eastAsia="en-GB"/>
              </w:rPr>
            </w:pPr>
            <w:r w:rsidRPr="00D94D26">
              <w:rPr>
                <w:rFonts w:ascii="Calibri" w:hAnsi="Calibri" w:cs="Calibri"/>
                <w:color w:val="000000"/>
                <w:sz w:val="22"/>
                <w:szCs w:val="22"/>
                <w:lang w:eastAsia="en-GB"/>
              </w:rPr>
              <w:t>49</w:t>
            </w:r>
          </w:p>
        </w:tc>
        <w:tc>
          <w:tcPr>
            <w:tcW w:w="1340" w:type="dxa"/>
            <w:tcBorders>
              <w:top w:val="single" w:sz="4" w:space="0" w:color="9BC2E6"/>
              <w:left w:val="nil"/>
              <w:bottom w:val="single" w:sz="4" w:space="0" w:color="9BC2E6"/>
              <w:right w:val="single" w:sz="4" w:space="0" w:color="9BC2E6"/>
            </w:tcBorders>
            <w:shd w:val="clear" w:color="auto" w:fill="auto"/>
            <w:noWrap/>
            <w:vAlign w:val="bottom"/>
            <w:hideMark/>
          </w:tcPr>
          <w:p w14:paraId="375B00DE" w14:textId="77777777" w:rsidR="00D94D26" w:rsidRPr="00D94D26" w:rsidRDefault="00D94D26" w:rsidP="00D94D26">
            <w:pPr>
              <w:rPr>
                <w:rFonts w:ascii="Calibri" w:hAnsi="Calibri" w:cs="Calibri"/>
                <w:color w:val="000000"/>
                <w:sz w:val="22"/>
                <w:szCs w:val="22"/>
                <w:lang w:eastAsia="en-GB"/>
              </w:rPr>
            </w:pPr>
            <w:r w:rsidRPr="00D94D26">
              <w:rPr>
                <w:rFonts w:ascii="Calibri" w:hAnsi="Calibri" w:cs="Calibri"/>
                <w:color w:val="000000"/>
                <w:sz w:val="22"/>
                <w:szCs w:val="22"/>
                <w:lang w:eastAsia="en-GB"/>
              </w:rPr>
              <w:t>Rapid</w:t>
            </w:r>
          </w:p>
        </w:tc>
      </w:tr>
    </w:tbl>
    <w:p w14:paraId="6A9BDE7F" w14:textId="77777777" w:rsidR="00D94D26" w:rsidRDefault="00D94D26" w:rsidP="00A2188E">
      <w:pPr>
        <w:jc w:val="both"/>
        <w:rPr>
          <w:b/>
          <w:bCs/>
          <w:color w:val="FF0000"/>
          <w:sz w:val="22"/>
          <w:szCs w:val="22"/>
        </w:rPr>
      </w:pPr>
    </w:p>
    <w:p w14:paraId="74907385" w14:textId="246E73BC" w:rsidR="006000C3" w:rsidRPr="007F6F91" w:rsidRDefault="00C95DF1" w:rsidP="006000C3">
      <w:pPr>
        <w:jc w:val="both"/>
        <w:rPr>
          <w:b/>
          <w:bCs/>
          <w:szCs w:val="24"/>
          <w:u w:val="single"/>
        </w:rPr>
      </w:pPr>
      <w:r w:rsidRPr="007F6F91">
        <w:rPr>
          <w:b/>
          <w:bCs/>
          <w:szCs w:val="24"/>
          <w:u w:val="single"/>
        </w:rPr>
        <w:t xml:space="preserve">Council </w:t>
      </w:r>
      <w:r w:rsidR="006000C3" w:rsidRPr="007F6F91">
        <w:rPr>
          <w:b/>
          <w:bCs/>
          <w:szCs w:val="24"/>
          <w:u w:val="single"/>
        </w:rPr>
        <w:t>Progress</w:t>
      </w:r>
    </w:p>
    <w:p w14:paraId="19324079" w14:textId="77777777" w:rsidR="00C92AFD" w:rsidRDefault="00C92AFD" w:rsidP="00C92AFD">
      <w:pPr>
        <w:jc w:val="both"/>
        <w:rPr>
          <w:rFonts w:cs="Arial"/>
          <w:color w:val="0000FF"/>
          <w:sz w:val="28"/>
          <w:szCs w:val="28"/>
        </w:rPr>
      </w:pPr>
    </w:p>
    <w:p w14:paraId="2420ED59" w14:textId="76CE1513" w:rsidR="00FA3F50" w:rsidRPr="007F6F91" w:rsidRDefault="00046199" w:rsidP="00C92AFD">
      <w:pPr>
        <w:jc w:val="both"/>
        <w:rPr>
          <w:rFonts w:cs="Arial"/>
          <w:color w:val="0000FF"/>
          <w:sz w:val="32"/>
          <w:szCs w:val="32"/>
        </w:rPr>
      </w:pPr>
      <w:r w:rsidRPr="007F6F91">
        <w:rPr>
          <w:szCs w:val="24"/>
        </w:rPr>
        <w:t>2.1</w:t>
      </w:r>
      <w:r w:rsidR="007E22D8">
        <w:rPr>
          <w:szCs w:val="24"/>
        </w:rPr>
        <w:t>2</w:t>
      </w:r>
      <w:r w:rsidRPr="007F6F91">
        <w:rPr>
          <w:szCs w:val="24"/>
        </w:rPr>
        <w:t xml:space="preserve"> </w:t>
      </w:r>
      <w:r w:rsidR="00FA3F50" w:rsidRPr="007F6F91">
        <w:rPr>
          <w:szCs w:val="24"/>
        </w:rPr>
        <w:t xml:space="preserve">Since the </w:t>
      </w:r>
      <w:r w:rsidR="00716616" w:rsidRPr="007F6F91">
        <w:rPr>
          <w:szCs w:val="24"/>
        </w:rPr>
        <w:t>start</w:t>
      </w:r>
      <w:r w:rsidR="00FA3F50" w:rsidRPr="007F6F91">
        <w:rPr>
          <w:szCs w:val="24"/>
        </w:rPr>
        <w:t xml:space="preserve"> of Harrow’s electric vehicle </w:t>
      </w:r>
      <w:r w:rsidR="00584B6A" w:rsidRPr="007F6F91">
        <w:rPr>
          <w:szCs w:val="24"/>
        </w:rPr>
        <w:t>charge</w:t>
      </w:r>
      <w:r w:rsidR="00716616" w:rsidRPr="007F6F91">
        <w:rPr>
          <w:szCs w:val="24"/>
        </w:rPr>
        <w:t xml:space="preserve"> point </w:t>
      </w:r>
      <w:r w:rsidR="00FA3F50" w:rsidRPr="007F6F91">
        <w:rPr>
          <w:szCs w:val="24"/>
        </w:rPr>
        <w:t>programme</w:t>
      </w:r>
      <w:r w:rsidR="00584B6A" w:rsidRPr="007F6F91">
        <w:rPr>
          <w:szCs w:val="24"/>
        </w:rPr>
        <w:t xml:space="preserve"> in 2018</w:t>
      </w:r>
      <w:r w:rsidR="00716616" w:rsidRPr="007F6F91">
        <w:rPr>
          <w:szCs w:val="24"/>
        </w:rPr>
        <w:t>,</w:t>
      </w:r>
      <w:r w:rsidR="00FA3F50" w:rsidRPr="007F6F91">
        <w:rPr>
          <w:szCs w:val="24"/>
        </w:rPr>
        <w:t xml:space="preserve"> </w:t>
      </w:r>
      <w:r w:rsidR="00EF7CDE" w:rsidRPr="007F6F91">
        <w:rPr>
          <w:szCs w:val="24"/>
        </w:rPr>
        <w:t>30</w:t>
      </w:r>
      <w:r w:rsidR="00FA3F50" w:rsidRPr="007F6F91">
        <w:rPr>
          <w:szCs w:val="24"/>
        </w:rPr>
        <w:t xml:space="preserve"> charge points</w:t>
      </w:r>
      <w:r w:rsidR="00584B6A" w:rsidRPr="007F6F91">
        <w:rPr>
          <w:szCs w:val="24"/>
        </w:rPr>
        <w:t xml:space="preserve"> have been</w:t>
      </w:r>
      <w:r w:rsidR="00FA3F50" w:rsidRPr="007F6F91">
        <w:rPr>
          <w:szCs w:val="24"/>
        </w:rPr>
        <w:t xml:space="preserve"> </w:t>
      </w:r>
      <w:r w:rsidR="00AB3854" w:rsidRPr="007F6F91">
        <w:rPr>
          <w:szCs w:val="24"/>
        </w:rPr>
        <w:t>installed</w:t>
      </w:r>
      <w:r w:rsidR="00FA3F50" w:rsidRPr="007F6F91">
        <w:rPr>
          <w:szCs w:val="24"/>
        </w:rPr>
        <w:t xml:space="preserve"> in residential </w:t>
      </w:r>
      <w:r w:rsidR="00AB3854" w:rsidRPr="007F6F91">
        <w:rPr>
          <w:szCs w:val="24"/>
        </w:rPr>
        <w:t>and commercial</w:t>
      </w:r>
      <w:r w:rsidR="00864691" w:rsidRPr="007F6F91">
        <w:rPr>
          <w:szCs w:val="24"/>
        </w:rPr>
        <w:t xml:space="preserve"> areas</w:t>
      </w:r>
      <w:r w:rsidR="00FA3F50" w:rsidRPr="007F6F91">
        <w:rPr>
          <w:szCs w:val="24"/>
        </w:rPr>
        <w:t>. Five charge points were installed as part of the Neighbourhoods of the Future Greenhill Go Ultra Low City Scheme. 24 residential charge points were installed using On-Street Residential Charge Point (ORCS) funding. 1 rapid charge point was commissioned in March 2023</w:t>
      </w:r>
      <w:r w:rsidR="006A1679" w:rsidRPr="007F6F91">
        <w:rPr>
          <w:szCs w:val="24"/>
        </w:rPr>
        <w:t>.</w:t>
      </w:r>
    </w:p>
    <w:p w14:paraId="0F87055A" w14:textId="77777777" w:rsidR="00924470" w:rsidRPr="007F6F91" w:rsidRDefault="00924470" w:rsidP="00C92AFD">
      <w:pPr>
        <w:jc w:val="both"/>
        <w:rPr>
          <w:rFonts w:cs="Arial"/>
          <w:szCs w:val="24"/>
        </w:rPr>
      </w:pPr>
    </w:p>
    <w:p w14:paraId="4532323C" w14:textId="426D496D" w:rsidR="00C92AFD" w:rsidRPr="007F6F91" w:rsidRDefault="00030449" w:rsidP="00C92AFD">
      <w:pPr>
        <w:jc w:val="both"/>
        <w:rPr>
          <w:rFonts w:cs="Arial"/>
          <w:szCs w:val="24"/>
        </w:rPr>
      </w:pPr>
      <w:r w:rsidRPr="007F6F91">
        <w:rPr>
          <w:rFonts w:cs="Arial"/>
          <w:szCs w:val="24"/>
        </w:rPr>
        <w:t xml:space="preserve">The table below details the type of charge points </w:t>
      </w:r>
      <w:r w:rsidR="006078D9" w:rsidRPr="007F6F91">
        <w:rPr>
          <w:rFonts w:cs="Arial"/>
          <w:szCs w:val="24"/>
        </w:rPr>
        <w:t xml:space="preserve">that have been installed by Harrow: </w:t>
      </w:r>
    </w:p>
    <w:p w14:paraId="31BE1378" w14:textId="77777777" w:rsidR="00C92AFD" w:rsidRDefault="00C92AFD" w:rsidP="00C92AFD">
      <w:pPr>
        <w:jc w:val="both"/>
        <w:rPr>
          <w:rFonts w:cs="Arial"/>
          <w:sz w:val="22"/>
          <w:szCs w:val="22"/>
        </w:rPr>
      </w:pPr>
    </w:p>
    <w:p w14:paraId="5B19F992" w14:textId="77777777" w:rsidR="007F6F91" w:rsidRDefault="007F6F91" w:rsidP="00C92AFD">
      <w:pPr>
        <w:jc w:val="both"/>
        <w:rPr>
          <w:rFonts w:cs="Arial"/>
          <w:sz w:val="22"/>
          <w:szCs w:val="22"/>
        </w:rPr>
      </w:pPr>
    </w:p>
    <w:p w14:paraId="1970BE9D" w14:textId="77777777" w:rsidR="007F6F91" w:rsidRDefault="007F6F91" w:rsidP="00C92AFD">
      <w:pPr>
        <w:jc w:val="both"/>
        <w:rPr>
          <w:rFonts w:cs="Arial"/>
          <w:sz w:val="22"/>
          <w:szCs w:val="22"/>
        </w:rPr>
      </w:pPr>
    </w:p>
    <w:p w14:paraId="4E9F9F8C" w14:textId="77777777" w:rsidR="007F6F91" w:rsidRPr="00A97AF6" w:rsidRDefault="007F6F91" w:rsidP="00C92AFD">
      <w:pPr>
        <w:jc w:val="both"/>
        <w:rPr>
          <w:rFonts w:cs="Arial"/>
          <w:sz w:val="22"/>
          <w:szCs w:val="22"/>
        </w:rPr>
      </w:pPr>
    </w:p>
    <w:tbl>
      <w:tblPr>
        <w:tblStyle w:val="TableGrid"/>
        <w:tblW w:w="0" w:type="auto"/>
        <w:tblLook w:val="04A0" w:firstRow="1" w:lastRow="0" w:firstColumn="1" w:lastColumn="0" w:noHBand="0" w:noVBand="1"/>
      </w:tblPr>
      <w:tblGrid>
        <w:gridCol w:w="1705"/>
        <w:gridCol w:w="1754"/>
        <w:gridCol w:w="1509"/>
        <w:gridCol w:w="1646"/>
        <w:gridCol w:w="1685"/>
      </w:tblGrid>
      <w:tr w:rsidR="000C648B" w:rsidRPr="006376AD" w14:paraId="425360A4" w14:textId="77777777" w:rsidTr="005E158A">
        <w:tc>
          <w:tcPr>
            <w:tcW w:w="1705" w:type="dxa"/>
          </w:tcPr>
          <w:p w14:paraId="18664C4A" w14:textId="1D9D1F13" w:rsidR="000C648B" w:rsidRPr="005E158A" w:rsidRDefault="00015472" w:rsidP="005E158A">
            <w:pPr>
              <w:jc w:val="center"/>
              <w:rPr>
                <w:rFonts w:cs="Arial"/>
                <w:b/>
                <w:bCs/>
                <w:sz w:val="22"/>
                <w:szCs w:val="22"/>
              </w:rPr>
            </w:pPr>
            <w:r w:rsidRPr="005E158A">
              <w:rPr>
                <w:rFonts w:cs="Arial"/>
                <w:b/>
                <w:bCs/>
                <w:sz w:val="22"/>
                <w:szCs w:val="22"/>
              </w:rPr>
              <w:t>No of Chargepoints</w:t>
            </w:r>
          </w:p>
        </w:tc>
        <w:tc>
          <w:tcPr>
            <w:tcW w:w="1754" w:type="dxa"/>
          </w:tcPr>
          <w:p w14:paraId="63FDBD1B" w14:textId="34926D83" w:rsidR="000C648B" w:rsidRPr="005E158A" w:rsidRDefault="000C648B" w:rsidP="005E158A">
            <w:pPr>
              <w:jc w:val="center"/>
              <w:rPr>
                <w:rFonts w:cs="Arial"/>
                <w:b/>
                <w:bCs/>
                <w:sz w:val="22"/>
                <w:szCs w:val="22"/>
              </w:rPr>
            </w:pPr>
            <w:r w:rsidRPr="005E158A">
              <w:rPr>
                <w:rFonts w:cs="Arial"/>
                <w:b/>
                <w:bCs/>
                <w:sz w:val="22"/>
                <w:szCs w:val="22"/>
              </w:rPr>
              <w:t>Charge Point Operator</w:t>
            </w:r>
          </w:p>
        </w:tc>
        <w:tc>
          <w:tcPr>
            <w:tcW w:w="1509" w:type="dxa"/>
          </w:tcPr>
          <w:p w14:paraId="184C9ED6" w14:textId="59393BB3" w:rsidR="000C648B" w:rsidRPr="005E158A" w:rsidRDefault="000C648B" w:rsidP="005E158A">
            <w:pPr>
              <w:jc w:val="center"/>
              <w:rPr>
                <w:rFonts w:cs="Arial"/>
                <w:b/>
                <w:bCs/>
                <w:sz w:val="22"/>
                <w:szCs w:val="22"/>
              </w:rPr>
            </w:pPr>
            <w:r w:rsidRPr="005E158A">
              <w:rPr>
                <w:b/>
                <w:bCs/>
              </w:rPr>
              <w:t>Year of Install</w:t>
            </w:r>
            <w:r w:rsidR="00015472" w:rsidRPr="005E158A">
              <w:rPr>
                <w:b/>
                <w:bCs/>
              </w:rPr>
              <w:t>ation</w:t>
            </w:r>
          </w:p>
        </w:tc>
        <w:tc>
          <w:tcPr>
            <w:tcW w:w="1646" w:type="dxa"/>
          </w:tcPr>
          <w:p w14:paraId="4E762C0B" w14:textId="70800F55" w:rsidR="000C648B" w:rsidRPr="005E158A" w:rsidRDefault="000C648B" w:rsidP="005E158A">
            <w:pPr>
              <w:jc w:val="center"/>
              <w:rPr>
                <w:rFonts w:cs="Arial"/>
                <w:b/>
                <w:bCs/>
                <w:sz w:val="22"/>
                <w:szCs w:val="22"/>
              </w:rPr>
            </w:pPr>
            <w:r w:rsidRPr="005E158A">
              <w:rPr>
                <w:rFonts w:cs="Arial"/>
                <w:b/>
                <w:bCs/>
                <w:sz w:val="22"/>
                <w:szCs w:val="22"/>
              </w:rPr>
              <w:t>Charging type</w:t>
            </w:r>
          </w:p>
        </w:tc>
        <w:tc>
          <w:tcPr>
            <w:tcW w:w="1685" w:type="dxa"/>
          </w:tcPr>
          <w:p w14:paraId="26847398" w14:textId="77777777" w:rsidR="000C648B" w:rsidRPr="005E158A" w:rsidRDefault="000C648B" w:rsidP="005E158A">
            <w:pPr>
              <w:jc w:val="center"/>
              <w:rPr>
                <w:rFonts w:cs="Arial"/>
                <w:b/>
                <w:bCs/>
                <w:sz w:val="22"/>
                <w:szCs w:val="22"/>
              </w:rPr>
            </w:pPr>
            <w:r w:rsidRPr="005E158A">
              <w:rPr>
                <w:rFonts w:cs="Arial"/>
                <w:b/>
                <w:bCs/>
                <w:sz w:val="22"/>
                <w:szCs w:val="22"/>
              </w:rPr>
              <w:t>Power Output</w:t>
            </w:r>
          </w:p>
        </w:tc>
      </w:tr>
      <w:tr w:rsidR="000C648B" w:rsidRPr="00A97AF6" w14:paraId="0EA46F28" w14:textId="77777777" w:rsidTr="005E158A">
        <w:tc>
          <w:tcPr>
            <w:tcW w:w="1705" w:type="dxa"/>
          </w:tcPr>
          <w:p w14:paraId="30E53C99" w14:textId="7079EE88" w:rsidR="000C648B" w:rsidRPr="00B64121" w:rsidRDefault="004759BA" w:rsidP="005E158A">
            <w:pPr>
              <w:jc w:val="center"/>
              <w:rPr>
                <w:rFonts w:cs="Arial"/>
                <w:sz w:val="22"/>
                <w:szCs w:val="22"/>
              </w:rPr>
            </w:pPr>
            <w:r w:rsidRPr="005E158A">
              <w:rPr>
                <w:rFonts w:cs="Arial"/>
                <w:sz w:val="22"/>
                <w:szCs w:val="22"/>
              </w:rPr>
              <w:t>2</w:t>
            </w:r>
          </w:p>
        </w:tc>
        <w:tc>
          <w:tcPr>
            <w:tcW w:w="1754" w:type="dxa"/>
          </w:tcPr>
          <w:p w14:paraId="13AF45ED" w14:textId="7BD91A6C" w:rsidR="000C648B" w:rsidRPr="00A97AF6" w:rsidRDefault="000C648B" w:rsidP="005E158A">
            <w:pPr>
              <w:jc w:val="center"/>
              <w:rPr>
                <w:rFonts w:cs="Arial"/>
                <w:sz w:val="22"/>
                <w:szCs w:val="22"/>
              </w:rPr>
            </w:pPr>
            <w:r w:rsidRPr="00A97AF6">
              <w:rPr>
                <w:rFonts w:cs="Arial"/>
                <w:sz w:val="22"/>
                <w:szCs w:val="22"/>
              </w:rPr>
              <w:t>BP Pulse</w:t>
            </w:r>
          </w:p>
        </w:tc>
        <w:tc>
          <w:tcPr>
            <w:tcW w:w="1509" w:type="dxa"/>
          </w:tcPr>
          <w:p w14:paraId="461A607A" w14:textId="77777777" w:rsidR="000C648B" w:rsidRPr="00A97AF6" w:rsidRDefault="000C648B" w:rsidP="005E158A">
            <w:pPr>
              <w:jc w:val="center"/>
              <w:rPr>
                <w:rFonts w:cs="Arial"/>
                <w:sz w:val="22"/>
                <w:szCs w:val="22"/>
              </w:rPr>
            </w:pPr>
            <w:r w:rsidRPr="00B4704D">
              <w:t>2018</w:t>
            </w:r>
          </w:p>
        </w:tc>
        <w:tc>
          <w:tcPr>
            <w:tcW w:w="1646" w:type="dxa"/>
          </w:tcPr>
          <w:p w14:paraId="7CF3F7D1" w14:textId="77777777" w:rsidR="000C648B" w:rsidRPr="00A97AF6" w:rsidRDefault="000C648B" w:rsidP="005E158A">
            <w:pPr>
              <w:jc w:val="center"/>
              <w:rPr>
                <w:rFonts w:cs="Arial"/>
                <w:sz w:val="22"/>
                <w:szCs w:val="22"/>
              </w:rPr>
            </w:pPr>
            <w:r>
              <w:rPr>
                <w:rFonts w:cs="Arial"/>
                <w:sz w:val="22"/>
                <w:szCs w:val="22"/>
              </w:rPr>
              <w:t>Slow</w:t>
            </w:r>
          </w:p>
        </w:tc>
        <w:tc>
          <w:tcPr>
            <w:tcW w:w="1685" w:type="dxa"/>
          </w:tcPr>
          <w:p w14:paraId="3677026A" w14:textId="77777777" w:rsidR="000C648B" w:rsidRPr="00A97AF6" w:rsidRDefault="000C648B" w:rsidP="005E158A">
            <w:pPr>
              <w:jc w:val="center"/>
              <w:rPr>
                <w:rFonts w:cs="Arial"/>
                <w:sz w:val="22"/>
                <w:szCs w:val="22"/>
              </w:rPr>
            </w:pPr>
            <w:r w:rsidRPr="00A97AF6">
              <w:rPr>
                <w:rFonts w:cs="Arial"/>
                <w:sz w:val="22"/>
                <w:szCs w:val="22"/>
              </w:rPr>
              <w:t>7kW</w:t>
            </w:r>
          </w:p>
        </w:tc>
      </w:tr>
      <w:tr w:rsidR="000C648B" w:rsidRPr="00A97AF6" w14:paraId="15ABCA62" w14:textId="77777777" w:rsidTr="005E158A">
        <w:tc>
          <w:tcPr>
            <w:tcW w:w="1705" w:type="dxa"/>
          </w:tcPr>
          <w:p w14:paraId="0153A792" w14:textId="6BC40BFC" w:rsidR="000C648B" w:rsidRPr="00B64121" w:rsidRDefault="00D012C6" w:rsidP="005E158A">
            <w:pPr>
              <w:jc w:val="center"/>
              <w:rPr>
                <w:rFonts w:cs="Arial"/>
                <w:sz w:val="22"/>
                <w:szCs w:val="22"/>
              </w:rPr>
            </w:pPr>
            <w:r w:rsidRPr="005E158A">
              <w:rPr>
                <w:rFonts w:cs="Arial"/>
                <w:sz w:val="22"/>
                <w:szCs w:val="22"/>
              </w:rPr>
              <w:t>3</w:t>
            </w:r>
          </w:p>
        </w:tc>
        <w:tc>
          <w:tcPr>
            <w:tcW w:w="1754" w:type="dxa"/>
          </w:tcPr>
          <w:p w14:paraId="5549126B" w14:textId="52D7ACD3" w:rsidR="000C648B" w:rsidRPr="00A97AF6" w:rsidRDefault="000C648B" w:rsidP="005E158A">
            <w:pPr>
              <w:jc w:val="center"/>
              <w:rPr>
                <w:rFonts w:cs="Arial"/>
                <w:sz w:val="22"/>
                <w:szCs w:val="22"/>
              </w:rPr>
            </w:pPr>
            <w:r w:rsidRPr="00A97AF6">
              <w:rPr>
                <w:rFonts w:cs="Arial"/>
                <w:sz w:val="22"/>
                <w:szCs w:val="22"/>
              </w:rPr>
              <w:t>BP Pulse</w:t>
            </w:r>
          </w:p>
        </w:tc>
        <w:tc>
          <w:tcPr>
            <w:tcW w:w="1509" w:type="dxa"/>
          </w:tcPr>
          <w:p w14:paraId="6F54783F" w14:textId="77777777" w:rsidR="000C648B" w:rsidRPr="00A97AF6" w:rsidRDefault="000C648B" w:rsidP="005E158A">
            <w:pPr>
              <w:jc w:val="center"/>
              <w:rPr>
                <w:rFonts w:cs="Arial"/>
                <w:sz w:val="22"/>
                <w:szCs w:val="22"/>
              </w:rPr>
            </w:pPr>
            <w:r w:rsidRPr="00B4704D">
              <w:t>2018</w:t>
            </w:r>
          </w:p>
        </w:tc>
        <w:tc>
          <w:tcPr>
            <w:tcW w:w="1646" w:type="dxa"/>
          </w:tcPr>
          <w:p w14:paraId="1695FFE0" w14:textId="77777777" w:rsidR="000C648B" w:rsidRPr="00A97AF6" w:rsidRDefault="000C648B" w:rsidP="005E158A">
            <w:pPr>
              <w:jc w:val="center"/>
              <w:rPr>
                <w:rFonts w:cs="Arial"/>
                <w:sz w:val="22"/>
                <w:szCs w:val="22"/>
              </w:rPr>
            </w:pPr>
            <w:r>
              <w:rPr>
                <w:rFonts w:cs="Arial"/>
                <w:sz w:val="22"/>
                <w:szCs w:val="22"/>
              </w:rPr>
              <w:t>Fast</w:t>
            </w:r>
          </w:p>
        </w:tc>
        <w:tc>
          <w:tcPr>
            <w:tcW w:w="1685" w:type="dxa"/>
          </w:tcPr>
          <w:p w14:paraId="1385F8F0" w14:textId="77777777" w:rsidR="000C648B" w:rsidRPr="00A97AF6" w:rsidRDefault="000C648B" w:rsidP="005E158A">
            <w:pPr>
              <w:jc w:val="center"/>
              <w:rPr>
                <w:rFonts w:cs="Arial"/>
                <w:sz w:val="22"/>
                <w:szCs w:val="22"/>
              </w:rPr>
            </w:pPr>
            <w:r w:rsidRPr="00A97AF6">
              <w:rPr>
                <w:rFonts w:cs="Arial"/>
                <w:sz w:val="22"/>
                <w:szCs w:val="22"/>
              </w:rPr>
              <w:t>22kW</w:t>
            </w:r>
          </w:p>
        </w:tc>
      </w:tr>
      <w:tr w:rsidR="000C648B" w:rsidRPr="00A97AF6" w14:paraId="2B04EFC1" w14:textId="77777777" w:rsidTr="005E158A">
        <w:tc>
          <w:tcPr>
            <w:tcW w:w="1705" w:type="dxa"/>
          </w:tcPr>
          <w:p w14:paraId="2D0C67BF" w14:textId="00B0DE1A" w:rsidR="000C648B" w:rsidRPr="00B64121" w:rsidRDefault="00015472" w:rsidP="005E158A">
            <w:pPr>
              <w:jc w:val="center"/>
              <w:rPr>
                <w:rFonts w:cs="Arial"/>
                <w:sz w:val="22"/>
                <w:szCs w:val="22"/>
              </w:rPr>
            </w:pPr>
            <w:r w:rsidRPr="00B64121">
              <w:rPr>
                <w:rFonts w:cs="Arial"/>
                <w:sz w:val="22"/>
                <w:szCs w:val="22"/>
              </w:rPr>
              <w:t>24</w:t>
            </w:r>
          </w:p>
        </w:tc>
        <w:tc>
          <w:tcPr>
            <w:tcW w:w="1754" w:type="dxa"/>
          </w:tcPr>
          <w:p w14:paraId="7A7FD81B" w14:textId="5D23449F" w:rsidR="000C648B" w:rsidRPr="00A97AF6" w:rsidRDefault="000C648B" w:rsidP="005E158A">
            <w:pPr>
              <w:jc w:val="center"/>
              <w:rPr>
                <w:rFonts w:cs="Arial"/>
                <w:sz w:val="22"/>
                <w:szCs w:val="22"/>
              </w:rPr>
            </w:pPr>
            <w:r>
              <w:rPr>
                <w:rFonts w:cs="Arial"/>
                <w:sz w:val="22"/>
                <w:szCs w:val="22"/>
              </w:rPr>
              <w:t>Char.gy</w:t>
            </w:r>
          </w:p>
        </w:tc>
        <w:tc>
          <w:tcPr>
            <w:tcW w:w="1509" w:type="dxa"/>
          </w:tcPr>
          <w:p w14:paraId="15928117" w14:textId="77777777" w:rsidR="000C648B" w:rsidRPr="00A97AF6" w:rsidRDefault="000C648B" w:rsidP="005E158A">
            <w:pPr>
              <w:jc w:val="center"/>
              <w:rPr>
                <w:rFonts w:cs="Arial"/>
                <w:sz w:val="22"/>
                <w:szCs w:val="22"/>
              </w:rPr>
            </w:pPr>
            <w:r w:rsidRPr="00B4704D">
              <w:t>2021</w:t>
            </w:r>
          </w:p>
        </w:tc>
        <w:tc>
          <w:tcPr>
            <w:tcW w:w="1646" w:type="dxa"/>
          </w:tcPr>
          <w:p w14:paraId="306F1DCF" w14:textId="77777777" w:rsidR="000C648B" w:rsidRDefault="000C648B" w:rsidP="005E158A">
            <w:pPr>
              <w:jc w:val="center"/>
              <w:rPr>
                <w:rFonts w:cs="Arial"/>
                <w:sz w:val="22"/>
                <w:szCs w:val="22"/>
              </w:rPr>
            </w:pPr>
            <w:r>
              <w:rPr>
                <w:rFonts w:cs="Arial"/>
                <w:sz w:val="22"/>
                <w:szCs w:val="22"/>
              </w:rPr>
              <w:t>Slow</w:t>
            </w:r>
          </w:p>
        </w:tc>
        <w:tc>
          <w:tcPr>
            <w:tcW w:w="1685" w:type="dxa"/>
          </w:tcPr>
          <w:p w14:paraId="31D7487F" w14:textId="77777777" w:rsidR="000C648B" w:rsidRPr="00A97AF6" w:rsidRDefault="000C648B" w:rsidP="005E158A">
            <w:pPr>
              <w:jc w:val="center"/>
              <w:rPr>
                <w:rFonts w:cs="Arial"/>
                <w:sz w:val="22"/>
                <w:szCs w:val="22"/>
              </w:rPr>
            </w:pPr>
            <w:r>
              <w:rPr>
                <w:rFonts w:cs="Arial"/>
                <w:sz w:val="22"/>
                <w:szCs w:val="22"/>
              </w:rPr>
              <w:t>5.1kW</w:t>
            </w:r>
          </w:p>
        </w:tc>
      </w:tr>
      <w:tr w:rsidR="000C648B" w:rsidRPr="00A97AF6" w14:paraId="18BCBA17" w14:textId="77777777" w:rsidTr="005E158A">
        <w:tc>
          <w:tcPr>
            <w:tcW w:w="1705" w:type="dxa"/>
          </w:tcPr>
          <w:p w14:paraId="7279EFD4" w14:textId="142294BB" w:rsidR="000C648B" w:rsidRPr="005E158A" w:rsidRDefault="00096C61" w:rsidP="005E158A">
            <w:pPr>
              <w:jc w:val="center"/>
              <w:rPr>
                <w:rStyle w:val="CommentReference"/>
              </w:rPr>
            </w:pPr>
            <w:r w:rsidRPr="005E158A">
              <w:rPr>
                <w:rFonts w:cs="Arial"/>
                <w:sz w:val="22"/>
                <w:szCs w:val="22"/>
              </w:rPr>
              <w:t>1</w:t>
            </w:r>
          </w:p>
        </w:tc>
        <w:tc>
          <w:tcPr>
            <w:tcW w:w="1754" w:type="dxa"/>
          </w:tcPr>
          <w:p w14:paraId="776E7AC1" w14:textId="1C0B243D" w:rsidR="000C648B" w:rsidRDefault="000C648B" w:rsidP="005E158A">
            <w:pPr>
              <w:jc w:val="center"/>
              <w:rPr>
                <w:rFonts w:cs="Arial"/>
                <w:sz w:val="22"/>
                <w:szCs w:val="22"/>
              </w:rPr>
            </w:pPr>
            <w:r>
              <w:rPr>
                <w:rFonts w:cs="Arial"/>
                <w:sz w:val="22"/>
                <w:szCs w:val="22"/>
              </w:rPr>
              <w:t>BP Pulse</w:t>
            </w:r>
          </w:p>
        </w:tc>
        <w:tc>
          <w:tcPr>
            <w:tcW w:w="1509" w:type="dxa"/>
          </w:tcPr>
          <w:p w14:paraId="64682E6E" w14:textId="77777777" w:rsidR="000C648B" w:rsidRDefault="000C648B" w:rsidP="005E158A">
            <w:pPr>
              <w:jc w:val="center"/>
              <w:rPr>
                <w:rFonts w:cs="Arial"/>
                <w:sz w:val="22"/>
                <w:szCs w:val="22"/>
              </w:rPr>
            </w:pPr>
            <w:r>
              <w:rPr>
                <w:rFonts w:cs="Arial"/>
                <w:sz w:val="22"/>
                <w:szCs w:val="22"/>
              </w:rPr>
              <w:t>2023</w:t>
            </w:r>
          </w:p>
        </w:tc>
        <w:tc>
          <w:tcPr>
            <w:tcW w:w="1646" w:type="dxa"/>
          </w:tcPr>
          <w:p w14:paraId="0BCA1698" w14:textId="77777777" w:rsidR="000C648B" w:rsidRDefault="000C648B" w:rsidP="005E158A">
            <w:pPr>
              <w:jc w:val="center"/>
              <w:rPr>
                <w:rFonts w:cs="Arial"/>
                <w:sz w:val="22"/>
                <w:szCs w:val="22"/>
              </w:rPr>
            </w:pPr>
            <w:r>
              <w:rPr>
                <w:rFonts w:cs="Arial"/>
                <w:sz w:val="22"/>
                <w:szCs w:val="22"/>
              </w:rPr>
              <w:t>Rapid</w:t>
            </w:r>
          </w:p>
        </w:tc>
        <w:tc>
          <w:tcPr>
            <w:tcW w:w="1685" w:type="dxa"/>
          </w:tcPr>
          <w:p w14:paraId="62D17685" w14:textId="77777777" w:rsidR="000C648B" w:rsidRDefault="000C648B" w:rsidP="005E158A">
            <w:pPr>
              <w:jc w:val="center"/>
              <w:rPr>
                <w:rFonts w:cs="Arial"/>
                <w:sz w:val="22"/>
                <w:szCs w:val="22"/>
              </w:rPr>
            </w:pPr>
            <w:r>
              <w:rPr>
                <w:rFonts w:cs="Arial"/>
                <w:sz w:val="22"/>
                <w:szCs w:val="22"/>
              </w:rPr>
              <w:t>50kW</w:t>
            </w:r>
          </w:p>
        </w:tc>
      </w:tr>
    </w:tbl>
    <w:p w14:paraId="1B3BBBCE" w14:textId="77777777" w:rsidR="00C92AFD" w:rsidRDefault="00C92AFD" w:rsidP="00C92AFD">
      <w:pPr>
        <w:jc w:val="both"/>
        <w:rPr>
          <w:sz w:val="22"/>
          <w:szCs w:val="22"/>
        </w:rPr>
      </w:pPr>
    </w:p>
    <w:p w14:paraId="78A7757D" w14:textId="2DB88EC9" w:rsidR="00924470" w:rsidRPr="007E22D8" w:rsidRDefault="007E22D8" w:rsidP="00C92AFD">
      <w:pPr>
        <w:jc w:val="both"/>
        <w:rPr>
          <w:szCs w:val="24"/>
        </w:rPr>
      </w:pPr>
      <w:r w:rsidRPr="007E22D8">
        <w:rPr>
          <w:szCs w:val="24"/>
        </w:rPr>
        <w:t xml:space="preserve">2.13 </w:t>
      </w:r>
      <w:r w:rsidR="006F40CB" w:rsidRPr="007E22D8">
        <w:rPr>
          <w:szCs w:val="24"/>
        </w:rPr>
        <w:t>Slow chargers</w:t>
      </w:r>
      <w:r w:rsidR="00AF5F6D" w:rsidRPr="007E22D8">
        <w:rPr>
          <w:szCs w:val="24"/>
        </w:rPr>
        <w:t xml:space="preserve"> are 7Kw units</w:t>
      </w:r>
      <w:r w:rsidR="004E2520" w:rsidRPr="007E22D8">
        <w:rPr>
          <w:szCs w:val="24"/>
        </w:rPr>
        <w:t xml:space="preserve"> </w:t>
      </w:r>
      <w:r w:rsidR="006F40CB" w:rsidRPr="007E22D8">
        <w:rPr>
          <w:szCs w:val="24"/>
        </w:rPr>
        <w:t>mounted on or in streetlighting columns</w:t>
      </w:r>
      <w:r w:rsidR="00864691" w:rsidRPr="007E22D8">
        <w:rPr>
          <w:szCs w:val="24"/>
        </w:rPr>
        <w:t xml:space="preserve"> </w:t>
      </w:r>
      <w:r w:rsidR="006F40CB" w:rsidRPr="007E22D8">
        <w:rPr>
          <w:szCs w:val="24"/>
        </w:rPr>
        <w:t>providing for a slow overnight charge</w:t>
      </w:r>
      <w:r w:rsidR="00C36F52" w:rsidRPr="007E22D8">
        <w:rPr>
          <w:szCs w:val="24"/>
        </w:rPr>
        <w:t xml:space="preserve">. </w:t>
      </w:r>
      <w:r w:rsidR="006F40CB" w:rsidRPr="007E22D8">
        <w:rPr>
          <w:szCs w:val="24"/>
        </w:rPr>
        <w:t>Fast chargers</w:t>
      </w:r>
      <w:r w:rsidR="00AF5F6D" w:rsidRPr="007E22D8">
        <w:rPr>
          <w:szCs w:val="24"/>
        </w:rPr>
        <w:t xml:space="preserve">, typically around 22kw, </w:t>
      </w:r>
      <w:r w:rsidR="00C36F52" w:rsidRPr="007E22D8">
        <w:rPr>
          <w:szCs w:val="24"/>
        </w:rPr>
        <w:t xml:space="preserve">are </w:t>
      </w:r>
      <w:r w:rsidR="006F40CB" w:rsidRPr="007E22D8">
        <w:rPr>
          <w:szCs w:val="24"/>
        </w:rPr>
        <w:t>bollard sized units located on dedicated parking spaces</w:t>
      </w:r>
      <w:r w:rsidR="00C36F52" w:rsidRPr="007E22D8">
        <w:rPr>
          <w:szCs w:val="24"/>
        </w:rPr>
        <w:t xml:space="preserve">, </w:t>
      </w:r>
      <w:r w:rsidR="006F40CB" w:rsidRPr="007E22D8">
        <w:rPr>
          <w:szCs w:val="24"/>
        </w:rPr>
        <w:t xml:space="preserve">providing a charge </w:t>
      </w:r>
      <w:r w:rsidR="00AF5F6D" w:rsidRPr="007E22D8">
        <w:rPr>
          <w:szCs w:val="24"/>
        </w:rPr>
        <w:t xml:space="preserve">to 80% </w:t>
      </w:r>
      <w:r w:rsidR="006F40CB" w:rsidRPr="007E22D8">
        <w:rPr>
          <w:szCs w:val="24"/>
        </w:rPr>
        <w:t>in 3-4 hours</w:t>
      </w:r>
      <w:r w:rsidR="00C36F52" w:rsidRPr="007E22D8">
        <w:rPr>
          <w:szCs w:val="24"/>
        </w:rPr>
        <w:t>.</w:t>
      </w:r>
      <w:r w:rsidR="006F40CB" w:rsidRPr="007E22D8">
        <w:rPr>
          <w:szCs w:val="24"/>
        </w:rPr>
        <w:t xml:space="preserve"> Rapid chargers</w:t>
      </w:r>
      <w:r w:rsidR="00AF5F6D" w:rsidRPr="007E22D8">
        <w:rPr>
          <w:szCs w:val="24"/>
        </w:rPr>
        <w:t xml:space="preserve"> over 50</w:t>
      </w:r>
      <w:r w:rsidRPr="007E22D8">
        <w:rPr>
          <w:szCs w:val="24"/>
        </w:rPr>
        <w:t>Kw,</w:t>
      </w:r>
      <w:r w:rsidR="00C36F52" w:rsidRPr="007E22D8">
        <w:rPr>
          <w:szCs w:val="24"/>
        </w:rPr>
        <w:t xml:space="preserve"> are </w:t>
      </w:r>
      <w:r w:rsidR="006F40CB" w:rsidRPr="007E22D8">
        <w:rPr>
          <w:szCs w:val="24"/>
        </w:rPr>
        <w:t xml:space="preserve">a petrol pump sized unit providing charge </w:t>
      </w:r>
      <w:r w:rsidR="00AF5F6D" w:rsidRPr="007E22D8">
        <w:rPr>
          <w:szCs w:val="24"/>
        </w:rPr>
        <w:t xml:space="preserve">to 80% </w:t>
      </w:r>
      <w:r w:rsidR="006F40CB" w:rsidRPr="007E22D8">
        <w:rPr>
          <w:szCs w:val="24"/>
        </w:rPr>
        <w:t xml:space="preserve">in </w:t>
      </w:r>
      <w:r w:rsidR="00320482" w:rsidRPr="007E22D8">
        <w:rPr>
          <w:szCs w:val="24"/>
        </w:rPr>
        <w:t>under an hour</w:t>
      </w:r>
      <w:r w:rsidR="00AF5F6D" w:rsidRPr="007E22D8">
        <w:rPr>
          <w:szCs w:val="24"/>
        </w:rPr>
        <w:t xml:space="preserve"> for most electric vehicles</w:t>
      </w:r>
      <w:r w:rsidR="00320482" w:rsidRPr="007E22D8">
        <w:rPr>
          <w:szCs w:val="24"/>
        </w:rPr>
        <w:t>.</w:t>
      </w:r>
    </w:p>
    <w:p w14:paraId="393A13AA" w14:textId="77777777" w:rsidR="00924470" w:rsidRPr="007E22D8" w:rsidRDefault="00924470" w:rsidP="00C92AFD">
      <w:pPr>
        <w:jc w:val="both"/>
        <w:rPr>
          <w:szCs w:val="24"/>
        </w:rPr>
      </w:pPr>
    </w:p>
    <w:p w14:paraId="5DA09132" w14:textId="10CA47D1" w:rsidR="00C92AFD" w:rsidRPr="007E22D8" w:rsidRDefault="007E22D8" w:rsidP="00C92AFD">
      <w:pPr>
        <w:jc w:val="both"/>
        <w:rPr>
          <w:szCs w:val="24"/>
        </w:rPr>
      </w:pPr>
      <w:r w:rsidRPr="007E22D8">
        <w:rPr>
          <w:szCs w:val="24"/>
        </w:rPr>
        <w:t xml:space="preserve">2.14 </w:t>
      </w:r>
      <w:r w:rsidR="00C92AFD" w:rsidRPr="007E22D8">
        <w:rPr>
          <w:szCs w:val="24"/>
        </w:rPr>
        <w:t>The Council h</w:t>
      </w:r>
      <w:r w:rsidR="00201836" w:rsidRPr="007E22D8">
        <w:rPr>
          <w:szCs w:val="24"/>
        </w:rPr>
        <w:t>as</w:t>
      </w:r>
      <w:r w:rsidR="00C92AFD" w:rsidRPr="007E22D8">
        <w:rPr>
          <w:szCs w:val="24"/>
        </w:rPr>
        <w:t xml:space="preserve"> taken the opportunity to apply to various funds to provide support with EV installations. In 2018 the Go Ultra Low City Scheme (GULCS) provided funding for the first 5 on-street chargers as part of the Greenhill Go Ultra Low City Scheme. In 2019 the On-Street Residential Chargepoint Scheme (ORCS) provided funding for 24 Lamp Column charge and GULCS 1 rapid charge point. </w:t>
      </w:r>
    </w:p>
    <w:p w14:paraId="73EF1050" w14:textId="77777777" w:rsidR="00C92AFD" w:rsidRPr="007E22D8" w:rsidRDefault="00C92AFD" w:rsidP="00C92AFD">
      <w:pPr>
        <w:jc w:val="both"/>
        <w:rPr>
          <w:szCs w:val="24"/>
        </w:rPr>
      </w:pPr>
    </w:p>
    <w:p w14:paraId="3FD282E3" w14:textId="79E1A18E" w:rsidR="00B155EF" w:rsidRPr="007E22D8" w:rsidRDefault="007E22D8" w:rsidP="00C92AFD">
      <w:pPr>
        <w:jc w:val="both"/>
        <w:rPr>
          <w:szCs w:val="24"/>
        </w:rPr>
      </w:pPr>
      <w:r w:rsidRPr="007E22D8">
        <w:rPr>
          <w:szCs w:val="24"/>
        </w:rPr>
        <w:t xml:space="preserve">2.15 </w:t>
      </w:r>
      <w:r w:rsidR="00B155EF" w:rsidRPr="007E22D8">
        <w:rPr>
          <w:szCs w:val="24"/>
        </w:rPr>
        <w:t>A contract with Char.gy was secured via the Transport for London (TfL) GULCS framework. Frameworks save significant time and money, while delivering specific services that not only meet local requirements but support local decision making</w:t>
      </w:r>
      <w:r w:rsidR="00E60B56" w:rsidRPr="007E22D8">
        <w:rPr>
          <w:szCs w:val="24"/>
        </w:rPr>
        <w:t xml:space="preserve">. The GULCS framework expired in July 2022, therefore the recommendation for this report is to secure a provider </w:t>
      </w:r>
      <w:r w:rsidR="00C00F67" w:rsidRPr="007E22D8">
        <w:rPr>
          <w:szCs w:val="24"/>
        </w:rPr>
        <w:t xml:space="preserve">through a </w:t>
      </w:r>
      <w:r w:rsidR="00464E37" w:rsidRPr="007E22D8">
        <w:rPr>
          <w:szCs w:val="24"/>
        </w:rPr>
        <w:t>call for competition under the Oxford City Council DPS</w:t>
      </w:r>
      <w:r w:rsidR="00E60B56" w:rsidRPr="007E22D8">
        <w:rPr>
          <w:szCs w:val="24"/>
        </w:rPr>
        <w:t xml:space="preserve">. </w:t>
      </w:r>
    </w:p>
    <w:p w14:paraId="70CCDAD5" w14:textId="77777777" w:rsidR="00E5489B" w:rsidRDefault="00E5489B" w:rsidP="00C92AFD">
      <w:pPr>
        <w:jc w:val="both"/>
        <w:rPr>
          <w:sz w:val="22"/>
          <w:szCs w:val="22"/>
        </w:rPr>
      </w:pPr>
    </w:p>
    <w:p w14:paraId="5498854C" w14:textId="77777777" w:rsidR="00E5489B" w:rsidRPr="006C7127" w:rsidRDefault="00E5489B" w:rsidP="00E5489B">
      <w:pPr>
        <w:jc w:val="both"/>
        <w:rPr>
          <w:b/>
          <w:bCs/>
          <w:szCs w:val="24"/>
          <w:u w:val="single"/>
        </w:rPr>
      </w:pPr>
      <w:r w:rsidRPr="006C7127">
        <w:rPr>
          <w:b/>
          <w:bCs/>
          <w:szCs w:val="24"/>
          <w:u w:val="single"/>
        </w:rPr>
        <w:t>New Funding</w:t>
      </w:r>
    </w:p>
    <w:p w14:paraId="723032B5" w14:textId="77777777" w:rsidR="00B155EF" w:rsidRDefault="00B155EF" w:rsidP="00C92AFD">
      <w:pPr>
        <w:jc w:val="both"/>
        <w:rPr>
          <w:sz w:val="22"/>
          <w:szCs w:val="22"/>
        </w:rPr>
      </w:pPr>
    </w:p>
    <w:p w14:paraId="77F835DB" w14:textId="04A6DA9B" w:rsidR="00B155EF" w:rsidRPr="00CE2EE4" w:rsidRDefault="00CE2EE4" w:rsidP="00B155EF">
      <w:pPr>
        <w:jc w:val="both"/>
        <w:rPr>
          <w:szCs w:val="24"/>
        </w:rPr>
      </w:pPr>
      <w:r w:rsidRPr="00CE2EE4">
        <w:rPr>
          <w:szCs w:val="24"/>
        </w:rPr>
        <w:t xml:space="preserve">2.16 </w:t>
      </w:r>
      <w:r w:rsidR="001454CD" w:rsidRPr="00CE2EE4">
        <w:rPr>
          <w:szCs w:val="24"/>
        </w:rPr>
        <w:t xml:space="preserve">It is clear that the pace and scale of delivery of on street charging needs to increase in Harrow and in 2022 the Council therefore developed bids for additional funding. </w:t>
      </w:r>
      <w:r w:rsidR="002E14AB" w:rsidRPr="00CE2EE4">
        <w:rPr>
          <w:szCs w:val="24"/>
        </w:rPr>
        <w:t>I</w:t>
      </w:r>
      <w:r w:rsidR="001B07AB" w:rsidRPr="00CE2EE4">
        <w:rPr>
          <w:szCs w:val="24"/>
        </w:rPr>
        <w:t xml:space="preserve">n </w:t>
      </w:r>
      <w:r w:rsidR="00744516" w:rsidRPr="00CE2EE4">
        <w:rPr>
          <w:szCs w:val="24"/>
        </w:rPr>
        <w:t>March 2023</w:t>
      </w:r>
      <w:r w:rsidR="001A0D5C" w:rsidRPr="00CE2EE4">
        <w:rPr>
          <w:szCs w:val="24"/>
        </w:rPr>
        <w:t xml:space="preserve">, the </w:t>
      </w:r>
      <w:r w:rsidR="007140F5" w:rsidRPr="00CE2EE4">
        <w:rPr>
          <w:szCs w:val="24"/>
        </w:rPr>
        <w:t>C</w:t>
      </w:r>
      <w:r w:rsidR="001A0D5C" w:rsidRPr="00CE2EE4">
        <w:rPr>
          <w:szCs w:val="24"/>
        </w:rPr>
        <w:t xml:space="preserve">ouncil was </w:t>
      </w:r>
      <w:r w:rsidR="001454CD" w:rsidRPr="00CE2EE4">
        <w:rPr>
          <w:szCs w:val="24"/>
        </w:rPr>
        <w:t xml:space="preserve">successful in being </w:t>
      </w:r>
      <w:r w:rsidR="001A0D5C" w:rsidRPr="00CE2EE4">
        <w:rPr>
          <w:szCs w:val="24"/>
        </w:rPr>
        <w:t>awarded a</w:t>
      </w:r>
      <w:r w:rsidR="00F86F1F" w:rsidRPr="00CE2EE4">
        <w:rPr>
          <w:szCs w:val="24"/>
        </w:rPr>
        <w:t>n ORCS</w:t>
      </w:r>
      <w:r w:rsidR="001A0D5C" w:rsidRPr="00CE2EE4">
        <w:rPr>
          <w:szCs w:val="24"/>
        </w:rPr>
        <w:t xml:space="preserve"> grant of £410,940</w:t>
      </w:r>
      <w:r w:rsidR="001F548D" w:rsidRPr="00CE2EE4">
        <w:rPr>
          <w:szCs w:val="24"/>
        </w:rPr>
        <w:t xml:space="preserve"> (tranche 3)</w:t>
      </w:r>
      <w:r w:rsidR="001A0D5C" w:rsidRPr="00CE2EE4">
        <w:rPr>
          <w:szCs w:val="24"/>
        </w:rPr>
        <w:t xml:space="preserve"> </w:t>
      </w:r>
      <w:r w:rsidR="00FB6072" w:rsidRPr="00CE2EE4">
        <w:rPr>
          <w:szCs w:val="24"/>
        </w:rPr>
        <w:t xml:space="preserve">to install up to </w:t>
      </w:r>
      <w:r w:rsidR="005F42CB" w:rsidRPr="00CE2EE4">
        <w:rPr>
          <w:szCs w:val="24"/>
        </w:rPr>
        <w:t>185</w:t>
      </w:r>
      <w:r w:rsidR="00FB6072" w:rsidRPr="00CE2EE4">
        <w:rPr>
          <w:szCs w:val="24"/>
        </w:rPr>
        <w:t xml:space="preserve"> </w:t>
      </w:r>
      <w:r w:rsidR="00017EA0" w:rsidRPr="00CE2EE4">
        <w:rPr>
          <w:szCs w:val="24"/>
        </w:rPr>
        <w:t xml:space="preserve">lamp column </w:t>
      </w:r>
      <w:r w:rsidR="00FB6072" w:rsidRPr="00CE2EE4">
        <w:rPr>
          <w:szCs w:val="24"/>
        </w:rPr>
        <w:t>charge points.</w:t>
      </w:r>
      <w:r w:rsidR="00E61C87" w:rsidRPr="00CE2EE4">
        <w:rPr>
          <w:szCs w:val="24"/>
        </w:rPr>
        <w:t xml:space="preserve"> A previous </w:t>
      </w:r>
      <w:r w:rsidR="007140F5" w:rsidRPr="00CE2EE4">
        <w:rPr>
          <w:szCs w:val="24"/>
        </w:rPr>
        <w:t xml:space="preserve">ORCS </w:t>
      </w:r>
      <w:r w:rsidR="00E61C87" w:rsidRPr="00CE2EE4">
        <w:rPr>
          <w:szCs w:val="24"/>
        </w:rPr>
        <w:t>grant of £</w:t>
      </w:r>
      <w:r w:rsidR="00A712AF" w:rsidRPr="00CE2EE4">
        <w:rPr>
          <w:szCs w:val="24"/>
        </w:rPr>
        <w:t>109,900</w:t>
      </w:r>
      <w:r w:rsidR="00E354FC" w:rsidRPr="00CE2EE4">
        <w:rPr>
          <w:szCs w:val="24"/>
        </w:rPr>
        <w:t xml:space="preserve"> (tranche</w:t>
      </w:r>
      <w:r w:rsidR="001F548D" w:rsidRPr="00CE2EE4">
        <w:rPr>
          <w:szCs w:val="24"/>
        </w:rPr>
        <w:t xml:space="preserve"> 2)</w:t>
      </w:r>
      <w:r w:rsidR="00A712AF" w:rsidRPr="00CE2EE4">
        <w:rPr>
          <w:szCs w:val="24"/>
        </w:rPr>
        <w:t xml:space="preserve"> was awarded in September 2021 </w:t>
      </w:r>
      <w:r w:rsidR="00BF5169" w:rsidRPr="00CE2EE4">
        <w:rPr>
          <w:szCs w:val="24"/>
        </w:rPr>
        <w:t xml:space="preserve">to install </w:t>
      </w:r>
      <w:r w:rsidR="001E2920" w:rsidRPr="00CE2EE4">
        <w:rPr>
          <w:szCs w:val="24"/>
        </w:rPr>
        <w:t xml:space="preserve">40 </w:t>
      </w:r>
      <w:r w:rsidR="00017EA0" w:rsidRPr="00CE2EE4">
        <w:rPr>
          <w:szCs w:val="24"/>
        </w:rPr>
        <w:t>lamp col</w:t>
      </w:r>
      <w:r w:rsidR="001E2920" w:rsidRPr="00CE2EE4">
        <w:rPr>
          <w:szCs w:val="24"/>
        </w:rPr>
        <w:t xml:space="preserve">umn </w:t>
      </w:r>
      <w:r w:rsidR="00BF5169" w:rsidRPr="00CE2EE4">
        <w:rPr>
          <w:szCs w:val="24"/>
        </w:rPr>
        <w:t>charge points</w:t>
      </w:r>
      <w:r w:rsidR="001454CD" w:rsidRPr="00CE2EE4">
        <w:rPr>
          <w:szCs w:val="24"/>
        </w:rPr>
        <w:t xml:space="preserve">. </w:t>
      </w:r>
      <w:r w:rsidRPr="00CE2EE4">
        <w:rPr>
          <w:szCs w:val="24"/>
        </w:rPr>
        <w:t>Whilst resourcing</w:t>
      </w:r>
      <w:r w:rsidR="00DD7872" w:rsidRPr="00CE2EE4">
        <w:rPr>
          <w:szCs w:val="24"/>
        </w:rPr>
        <w:t xml:space="preserve"> issues resulted in delays in </w:t>
      </w:r>
      <w:r w:rsidR="00757416" w:rsidRPr="00CE2EE4">
        <w:rPr>
          <w:szCs w:val="24"/>
        </w:rPr>
        <w:t>procuring a provider</w:t>
      </w:r>
      <w:r w:rsidR="001454CD" w:rsidRPr="00CE2EE4">
        <w:rPr>
          <w:szCs w:val="24"/>
        </w:rPr>
        <w:t xml:space="preserve"> at that time, </w:t>
      </w:r>
      <w:r w:rsidR="00842464" w:rsidRPr="00CE2EE4">
        <w:rPr>
          <w:szCs w:val="24"/>
        </w:rPr>
        <w:t xml:space="preserve">With OZEV’s consent </w:t>
      </w:r>
      <w:r w:rsidR="001454CD" w:rsidRPr="00CE2EE4">
        <w:rPr>
          <w:szCs w:val="24"/>
        </w:rPr>
        <w:t xml:space="preserve">that funding has been carried over and will be </w:t>
      </w:r>
      <w:r w:rsidR="005465C0" w:rsidRPr="00CE2EE4">
        <w:rPr>
          <w:szCs w:val="24"/>
        </w:rPr>
        <w:t>utilised in the proposed procurement</w:t>
      </w:r>
      <w:r w:rsidR="00757416" w:rsidRPr="00CE2EE4">
        <w:rPr>
          <w:szCs w:val="24"/>
        </w:rPr>
        <w:t xml:space="preserve">. </w:t>
      </w:r>
      <w:r w:rsidR="00BC749A" w:rsidRPr="00CE2EE4">
        <w:rPr>
          <w:szCs w:val="24"/>
        </w:rPr>
        <w:t xml:space="preserve">The total amount </w:t>
      </w:r>
      <w:r w:rsidR="001F4F71" w:rsidRPr="00CE2EE4">
        <w:rPr>
          <w:szCs w:val="24"/>
        </w:rPr>
        <w:t>of available funding for installations is</w:t>
      </w:r>
      <w:r w:rsidR="005465C0" w:rsidRPr="00CE2EE4">
        <w:rPr>
          <w:szCs w:val="24"/>
        </w:rPr>
        <w:t xml:space="preserve"> therefore</w:t>
      </w:r>
      <w:r w:rsidR="001F4F71" w:rsidRPr="00CE2EE4">
        <w:rPr>
          <w:szCs w:val="24"/>
        </w:rPr>
        <w:t xml:space="preserve"> £52</w:t>
      </w:r>
      <w:r w:rsidR="00D95809" w:rsidRPr="00CE2EE4">
        <w:rPr>
          <w:szCs w:val="24"/>
        </w:rPr>
        <w:t>0,</w:t>
      </w:r>
      <w:r w:rsidR="00D91866" w:rsidRPr="00CE2EE4">
        <w:rPr>
          <w:szCs w:val="24"/>
        </w:rPr>
        <w:t xml:space="preserve"> </w:t>
      </w:r>
      <w:r w:rsidR="00D95809" w:rsidRPr="00CE2EE4">
        <w:rPr>
          <w:szCs w:val="24"/>
        </w:rPr>
        <w:t>840</w:t>
      </w:r>
      <w:r w:rsidR="00BF7D7A" w:rsidRPr="00CE2EE4">
        <w:rPr>
          <w:szCs w:val="24"/>
        </w:rPr>
        <w:t>.</w:t>
      </w:r>
      <w:r w:rsidR="00073027" w:rsidRPr="00CE2EE4">
        <w:rPr>
          <w:szCs w:val="24"/>
        </w:rPr>
        <w:t xml:space="preserve"> </w:t>
      </w:r>
      <w:r w:rsidR="00355B06" w:rsidRPr="00CE2EE4">
        <w:rPr>
          <w:szCs w:val="24"/>
        </w:rPr>
        <w:t>Char</w:t>
      </w:r>
      <w:r w:rsidR="00F950BF" w:rsidRPr="00CE2EE4">
        <w:rPr>
          <w:szCs w:val="24"/>
        </w:rPr>
        <w:t xml:space="preserve">ge Point </w:t>
      </w:r>
      <w:r w:rsidR="00A81625" w:rsidRPr="00CE2EE4">
        <w:rPr>
          <w:szCs w:val="24"/>
        </w:rPr>
        <w:t>O</w:t>
      </w:r>
      <w:r w:rsidR="00F950BF" w:rsidRPr="00CE2EE4">
        <w:rPr>
          <w:szCs w:val="24"/>
        </w:rPr>
        <w:t>perators will be expected to agree</w:t>
      </w:r>
      <w:r w:rsidR="00E944ED" w:rsidRPr="00CE2EE4">
        <w:rPr>
          <w:szCs w:val="24"/>
        </w:rPr>
        <w:t xml:space="preserve"> </w:t>
      </w:r>
      <w:r w:rsidR="00310A87" w:rsidRPr="00CE2EE4">
        <w:rPr>
          <w:szCs w:val="24"/>
        </w:rPr>
        <w:t>to a min</w:t>
      </w:r>
      <w:r w:rsidR="00317314" w:rsidRPr="00CE2EE4">
        <w:rPr>
          <w:szCs w:val="24"/>
        </w:rPr>
        <w:t xml:space="preserve">imum </w:t>
      </w:r>
      <w:r w:rsidR="00E944ED" w:rsidRPr="00CE2EE4">
        <w:rPr>
          <w:szCs w:val="24"/>
        </w:rPr>
        <w:t>match funding at 25% (tranche 2) and</w:t>
      </w:r>
      <w:r w:rsidR="002F2D3E" w:rsidRPr="00CE2EE4">
        <w:rPr>
          <w:szCs w:val="24"/>
        </w:rPr>
        <w:t xml:space="preserve"> </w:t>
      </w:r>
      <w:r w:rsidR="004432D2" w:rsidRPr="00CE2EE4">
        <w:rPr>
          <w:szCs w:val="24"/>
        </w:rPr>
        <w:t>40% (tranche 3)</w:t>
      </w:r>
      <w:r w:rsidR="00B75900" w:rsidRPr="00CE2EE4">
        <w:rPr>
          <w:szCs w:val="24"/>
        </w:rPr>
        <w:t>.</w:t>
      </w:r>
    </w:p>
    <w:p w14:paraId="416C1005" w14:textId="77777777" w:rsidR="002C3281" w:rsidRDefault="002C3281" w:rsidP="00B155EF">
      <w:pPr>
        <w:jc w:val="both"/>
        <w:rPr>
          <w:sz w:val="22"/>
          <w:szCs w:val="22"/>
        </w:rPr>
      </w:pPr>
    </w:p>
    <w:p w14:paraId="369A9C63" w14:textId="77777777" w:rsidR="00A1597E" w:rsidRDefault="00A1597E" w:rsidP="00180DCB">
      <w:pPr>
        <w:jc w:val="both"/>
        <w:rPr>
          <w:b/>
          <w:bCs/>
          <w:sz w:val="22"/>
          <w:szCs w:val="22"/>
          <w:u w:val="single"/>
        </w:rPr>
      </w:pPr>
    </w:p>
    <w:p w14:paraId="5FBCBF1E" w14:textId="65F7AD05" w:rsidR="00A1597E" w:rsidRPr="006C7127" w:rsidRDefault="007468BC" w:rsidP="00180DCB">
      <w:pPr>
        <w:jc w:val="both"/>
        <w:rPr>
          <w:b/>
          <w:bCs/>
          <w:szCs w:val="24"/>
          <w:u w:val="single"/>
        </w:rPr>
      </w:pPr>
      <w:r w:rsidRPr="006C7127">
        <w:rPr>
          <w:b/>
          <w:bCs/>
          <w:szCs w:val="24"/>
          <w:u w:val="single"/>
        </w:rPr>
        <w:t>Rapid Charging Provision</w:t>
      </w:r>
      <w:r w:rsidR="007576D5" w:rsidRPr="006C7127">
        <w:rPr>
          <w:b/>
          <w:bCs/>
          <w:szCs w:val="24"/>
          <w:u w:val="single"/>
        </w:rPr>
        <w:t xml:space="preserve"> in Council Car Parks and other locations</w:t>
      </w:r>
    </w:p>
    <w:p w14:paraId="6019F6C4" w14:textId="77777777" w:rsidR="00180DCB" w:rsidRDefault="00180DCB" w:rsidP="00180DCB">
      <w:pPr>
        <w:jc w:val="both"/>
        <w:rPr>
          <w:sz w:val="22"/>
          <w:szCs w:val="22"/>
        </w:rPr>
      </w:pPr>
    </w:p>
    <w:p w14:paraId="5F1CB456" w14:textId="5F0D5A9D" w:rsidR="00180DCB" w:rsidRPr="00CE2EE4" w:rsidRDefault="00CE2EE4" w:rsidP="00180DCB">
      <w:pPr>
        <w:jc w:val="both"/>
        <w:rPr>
          <w:szCs w:val="24"/>
        </w:rPr>
      </w:pPr>
      <w:r w:rsidRPr="00CE2EE4">
        <w:rPr>
          <w:szCs w:val="24"/>
        </w:rPr>
        <w:t xml:space="preserve">2.17 </w:t>
      </w:r>
      <w:r w:rsidR="00180DCB" w:rsidRPr="00CE2EE4">
        <w:rPr>
          <w:szCs w:val="24"/>
        </w:rPr>
        <w:t>The installation of residential on street charging provision</w:t>
      </w:r>
      <w:r w:rsidR="007468BC" w:rsidRPr="00CE2EE4">
        <w:rPr>
          <w:szCs w:val="24"/>
        </w:rPr>
        <w:t xml:space="preserve">, which is suitable for longer stay and overnight charging, </w:t>
      </w:r>
      <w:r w:rsidR="00180DCB" w:rsidRPr="00CE2EE4">
        <w:rPr>
          <w:szCs w:val="24"/>
        </w:rPr>
        <w:t xml:space="preserve">should also be supplemented by faster charging options. The Council has commenced </w:t>
      </w:r>
      <w:r w:rsidR="007468BC" w:rsidRPr="00CE2EE4">
        <w:rPr>
          <w:szCs w:val="24"/>
        </w:rPr>
        <w:t xml:space="preserve">initial </w:t>
      </w:r>
      <w:r w:rsidR="00180DCB" w:rsidRPr="00CE2EE4">
        <w:rPr>
          <w:szCs w:val="24"/>
        </w:rPr>
        <w:t xml:space="preserve">discussions with rapid charging providers with a view to </w:t>
      </w:r>
      <w:r w:rsidR="007468BC" w:rsidRPr="00CE2EE4">
        <w:rPr>
          <w:szCs w:val="24"/>
        </w:rPr>
        <w:t xml:space="preserve">better understanding the market and </w:t>
      </w:r>
      <w:r w:rsidR="00180DCB" w:rsidRPr="00CE2EE4">
        <w:rPr>
          <w:szCs w:val="24"/>
        </w:rPr>
        <w:t>identifying suitable locations across our car park estate, and other on and off-street locations close to town centres and high footfall sites. The key findings from these initial discussions are:</w:t>
      </w:r>
    </w:p>
    <w:p w14:paraId="6B3F4019" w14:textId="77777777" w:rsidR="00180DCB" w:rsidRPr="00CE2EE4" w:rsidRDefault="00180DCB" w:rsidP="00180DCB">
      <w:pPr>
        <w:jc w:val="both"/>
        <w:rPr>
          <w:szCs w:val="24"/>
        </w:rPr>
      </w:pPr>
    </w:p>
    <w:p w14:paraId="748AFEC2" w14:textId="77777777" w:rsidR="00180DCB" w:rsidRPr="00CE2EE4" w:rsidRDefault="00180DCB" w:rsidP="00180DCB">
      <w:pPr>
        <w:pStyle w:val="ListParagraph"/>
        <w:numPr>
          <w:ilvl w:val="0"/>
          <w:numId w:val="12"/>
        </w:numPr>
        <w:jc w:val="both"/>
        <w:rPr>
          <w:szCs w:val="24"/>
        </w:rPr>
      </w:pPr>
      <w:r w:rsidRPr="00CE2EE4">
        <w:rPr>
          <w:szCs w:val="24"/>
        </w:rPr>
        <w:t xml:space="preserve">To justify the higher capital levels of investment required in the equipment for rapid charging providers generally require lease terms of 15-30 years. Sites therefore require careful selection to ensure they are not likely to be subject to development within those timescales, and otherwise offer the shorter visitor dwell times appropriate for rapid charging. </w:t>
      </w:r>
    </w:p>
    <w:p w14:paraId="135C461A" w14:textId="77777777" w:rsidR="00180DCB" w:rsidRPr="00CE2EE4" w:rsidRDefault="00180DCB" w:rsidP="00180DCB">
      <w:pPr>
        <w:pStyle w:val="ListParagraph"/>
        <w:jc w:val="both"/>
        <w:rPr>
          <w:szCs w:val="24"/>
        </w:rPr>
      </w:pPr>
    </w:p>
    <w:p w14:paraId="55F9FD08" w14:textId="6DE24B8D" w:rsidR="00180DCB" w:rsidRPr="00CE2EE4" w:rsidRDefault="00180DCB" w:rsidP="00180DCB">
      <w:pPr>
        <w:pStyle w:val="ListParagraph"/>
        <w:numPr>
          <w:ilvl w:val="0"/>
          <w:numId w:val="12"/>
        </w:numPr>
        <w:jc w:val="both"/>
        <w:rPr>
          <w:szCs w:val="24"/>
        </w:rPr>
      </w:pPr>
      <w:r w:rsidRPr="00CE2EE4">
        <w:rPr>
          <w:szCs w:val="24"/>
        </w:rPr>
        <w:t xml:space="preserve">Electricity capacity upgrades are almost always required for installation of rapid chargers, </w:t>
      </w:r>
      <w:r w:rsidR="007468BC" w:rsidRPr="00CE2EE4">
        <w:rPr>
          <w:szCs w:val="24"/>
        </w:rPr>
        <w:t xml:space="preserve">which can range </w:t>
      </w:r>
      <w:r w:rsidR="005465C0" w:rsidRPr="00CE2EE4">
        <w:rPr>
          <w:szCs w:val="24"/>
        </w:rPr>
        <w:t xml:space="preserve">in output </w:t>
      </w:r>
      <w:r w:rsidR="007468BC" w:rsidRPr="00CE2EE4">
        <w:rPr>
          <w:szCs w:val="24"/>
        </w:rPr>
        <w:t xml:space="preserve">from 50kw to 300kw, </w:t>
      </w:r>
      <w:r w:rsidRPr="00CE2EE4">
        <w:rPr>
          <w:szCs w:val="24"/>
        </w:rPr>
        <w:t xml:space="preserve">and sites need to be selected where this is economically viable to achieve. </w:t>
      </w:r>
      <w:r w:rsidR="007468BC" w:rsidRPr="00CE2EE4">
        <w:rPr>
          <w:szCs w:val="24"/>
        </w:rPr>
        <w:t>The timescales for installation of rapid charging provision are generally around 12 months allowing for capacity upgrade works, although this can be shorter for smaller installations</w:t>
      </w:r>
      <w:r w:rsidR="005465C0" w:rsidRPr="00CE2EE4">
        <w:rPr>
          <w:szCs w:val="24"/>
        </w:rPr>
        <w:t xml:space="preserve">. </w:t>
      </w:r>
    </w:p>
    <w:p w14:paraId="19BB84A5" w14:textId="77777777" w:rsidR="007468BC" w:rsidRPr="00CE2EE4" w:rsidRDefault="007468BC" w:rsidP="005E158A">
      <w:pPr>
        <w:pStyle w:val="ListParagraph"/>
        <w:rPr>
          <w:szCs w:val="24"/>
        </w:rPr>
      </w:pPr>
    </w:p>
    <w:p w14:paraId="32058B3E" w14:textId="5DB59212" w:rsidR="007468BC" w:rsidRPr="00CE2EE4" w:rsidRDefault="007468BC" w:rsidP="00180DCB">
      <w:pPr>
        <w:pStyle w:val="ListParagraph"/>
        <w:numPr>
          <w:ilvl w:val="0"/>
          <w:numId w:val="12"/>
        </w:numPr>
        <w:jc w:val="both"/>
        <w:rPr>
          <w:szCs w:val="24"/>
        </w:rPr>
      </w:pPr>
      <w:r w:rsidRPr="00CE2EE4">
        <w:rPr>
          <w:szCs w:val="24"/>
        </w:rPr>
        <w:t xml:space="preserve">Subject to securing the length of tenure required, costs of installation and capacity upgrades are borne by the provider, with an annual rental and / or profit share arrangement paid to the landowner.  </w:t>
      </w:r>
    </w:p>
    <w:p w14:paraId="726CEE79" w14:textId="77777777" w:rsidR="00180DCB" w:rsidRPr="00CE2EE4" w:rsidRDefault="00180DCB" w:rsidP="00180DCB">
      <w:pPr>
        <w:jc w:val="both"/>
        <w:rPr>
          <w:szCs w:val="24"/>
        </w:rPr>
      </w:pPr>
    </w:p>
    <w:p w14:paraId="58059E9A" w14:textId="053617A4" w:rsidR="00180DCB" w:rsidRPr="00CE2EE4" w:rsidRDefault="00180DCB" w:rsidP="00180DCB">
      <w:pPr>
        <w:pStyle w:val="ListParagraph"/>
        <w:numPr>
          <w:ilvl w:val="0"/>
          <w:numId w:val="12"/>
        </w:numPr>
        <w:jc w:val="both"/>
        <w:rPr>
          <w:szCs w:val="24"/>
        </w:rPr>
      </w:pPr>
      <w:r w:rsidRPr="00CE2EE4">
        <w:rPr>
          <w:szCs w:val="24"/>
        </w:rPr>
        <w:t>The potential for expansion of rapid charging in the borough is good and providers are keen to work with</w:t>
      </w:r>
      <w:r w:rsidR="007468BC" w:rsidRPr="00CE2EE4">
        <w:rPr>
          <w:szCs w:val="24"/>
        </w:rPr>
        <w:t>in</w:t>
      </w:r>
      <w:r w:rsidRPr="00CE2EE4">
        <w:rPr>
          <w:szCs w:val="24"/>
        </w:rPr>
        <w:t xml:space="preserve"> Harrow</w:t>
      </w:r>
      <w:r w:rsidR="00CE2EE4">
        <w:rPr>
          <w:szCs w:val="24"/>
        </w:rPr>
        <w:t>.</w:t>
      </w:r>
    </w:p>
    <w:p w14:paraId="6AA26384" w14:textId="07F64086" w:rsidR="00180DCB" w:rsidRPr="00364635" w:rsidRDefault="00180DCB" w:rsidP="00180DCB">
      <w:pPr>
        <w:jc w:val="both"/>
        <w:rPr>
          <w:szCs w:val="24"/>
        </w:rPr>
      </w:pPr>
    </w:p>
    <w:p w14:paraId="72D0BC88" w14:textId="243C74CF" w:rsidR="00180DCB" w:rsidRPr="00364635" w:rsidRDefault="00364635" w:rsidP="00180DCB">
      <w:pPr>
        <w:jc w:val="both"/>
        <w:rPr>
          <w:szCs w:val="24"/>
        </w:rPr>
      </w:pPr>
      <w:r w:rsidRPr="00364635">
        <w:rPr>
          <w:szCs w:val="24"/>
        </w:rPr>
        <w:t xml:space="preserve">2.18 </w:t>
      </w:r>
      <w:r w:rsidR="007468BC" w:rsidRPr="00364635">
        <w:rPr>
          <w:szCs w:val="24"/>
        </w:rPr>
        <w:t>A</w:t>
      </w:r>
      <w:r w:rsidR="00AF5F6D" w:rsidRPr="00364635">
        <w:rPr>
          <w:szCs w:val="24"/>
        </w:rPr>
        <w:t>ut</w:t>
      </w:r>
      <w:r w:rsidR="007468BC" w:rsidRPr="00364635">
        <w:rPr>
          <w:szCs w:val="24"/>
        </w:rPr>
        <w:t xml:space="preserve">hority is requested to </w:t>
      </w:r>
      <w:r w:rsidR="00180DCB" w:rsidRPr="00364635">
        <w:rPr>
          <w:szCs w:val="24"/>
        </w:rPr>
        <w:t>develop</w:t>
      </w:r>
      <w:r w:rsidR="007468BC" w:rsidRPr="00364635">
        <w:rPr>
          <w:szCs w:val="24"/>
        </w:rPr>
        <w:t xml:space="preserve"> a</w:t>
      </w:r>
      <w:r w:rsidR="00180DCB" w:rsidRPr="00364635">
        <w:rPr>
          <w:szCs w:val="24"/>
        </w:rPr>
        <w:t xml:space="preserve"> procurement approach for an initial tranche of rapid charging expansion in council owned car parks</w:t>
      </w:r>
      <w:r w:rsidR="007468BC" w:rsidRPr="00364635">
        <w:rPr>
          <w:szCs w:val="24"/>
        </w:rPr>
        <w:t xml:space="preserve"> and other council run locations</w:t>
      </w:r>
      <w:r w:rsidR="007576D5" w:rsidRPr="00364635">
        <w:rPr>
          <w:szCs w:val="24"/>
        </w:rPr>
        <w:t xml:space="preserve">. </w:t>
      </w:r>
    </w:p>
    <w:p w14:paraId="65E9647D" w14:textId="77777777" w:rsidR="00180DCB" w:rsidRDefault="00180DCB" w:rsidP="00DD4A33">
      <w:pPr>
        <w:pStyle w:val="Heading2"/>
        <w:rPr>
          <w:rFonts w:ascii="Arial" w:hAnsi="Arial"/>
          <w:color w:val="0000FF"/>
          <w:sz w:val="28"/>
          <w:szCs w:val="28"/>
        </w:rPr>
      </w:pPr>
    </w:p>
    <w:p w14:paraId="6D87EAC5" w14:textId="1B71557D" w:rsidR="00DD4A33" w:rsidRPr="005E158A" w:rsidRDefault="00DD4A33" w:rsidP="00DD4A33">
      <w:pPr>
        <w:pStyle w:val="Heading2"/>
        <w:rPr>
          <w:rFonts w:ascii="Arial" w:hAnsi="Arial"/>
          <w:sz w:val="28"/>
          <w:szCs w:val="28"/>
        </w:rPr>
      </w:pPr>
      <w:r w:rsidRPr="005E158A">
        <w:rPr>
          <w:rFonts w:ascii="Arial" w:hAnsi="Arial"/>
          <w:sz w:val="28"/>
          <w:szCs w:val="28"/>
        </w:rPr>
        <w:t>Why a change is needed</w:t>
      </w:r>
    </w:p>
    <w:p w14:paraId="5BF20334" w14:textId="77777777" w:rsidR="00DD4A33" w:rsidRDefault="00DD4A33" w:rsidP="00C92AFD">
      <w:pPr>
        <w:jc w:val="both"/>
        <w:rPr>
          <w:sz w:val="22"/>
          <w:szCs w:val="22"/>
        </w:rPr>
      </w:pPr>
    </w:p>
    <w:p w14:paraId="3ED49A12" w14:textId="49DFBF69" w:rsidR="00C92AFD" w:rsidRPr="00364635" w:rsidRDefault="00364635" w:rsidP="00C92AFD">
      <w:pPr>
        <w:jc w:val="both"/>
        <w:rPr>
          <w:szCs w:val="24"/>
        </w:rPr>
      </w:pPr>
      <w:r w:rsidRPr="00364635">
        <w:rPr>
          <w:szCs w:val="24"/>
        </w:rPr>
        <w:t xml:space="preserve">2.19 </w:t>
      </w:r>
      <w:r w:rsidR="00C92AFD" w:rsidRPr="00364635">
        <w:rPr>
          <w:szCs w:val="24"/>
        </w:rPr>
        <w:t>Many residents have made the decision to switch to EV or use an EV for work purposes. Lamp Column mounted charge points offer a solution for residents who do not have access to off street parking and want to purchase an EV. Lamp column charge points are often the better choice for residential areas due to their reliability and cost effectiveness. The existing 24 lamp column charge points currently operate on a Pay As You Go charge</w:t>
      </w:r>
      <w:r w:rsidR="005313E2" w:rsidRPr="00364635">
        <w:rPr>
          <w:szCs w:val="24"/>
        </w:rPr>
        <w:t>, currently at</w:t>
      </w:r>
      <w:r w:rsidR="00C92AFD" w:rsidRPr="00364635">
        <w:rPr>
          <w:szCs w:val="24"/>
        </w:rPr>
        <w:t xml:space="preserve"> 69p/kWh day tariff and a reduced rate of 29p/kWh night tariff. </w:t>
      </w:r>
      <w:r w:rsidR="004F1881" w:rsidRPr="00364635">
        <w:rPr>
          <w:szCs w:val="24"/>
        </w:rPr>
        <w:t xml:space="preserve">Following the removal of a government subsidy on energy pricing, the daytime rate will reduce to 60p per kWh and the </w:t>
      </w:r>
      <w:r w:rsidR="00CD446D" w:rsidRPr="00364635">
        <w:rPr>
          <w:szCs w:val="24"/>
        </w:rPr>
        <w:t>night</w:t>
      </w:r>
      <w:r w:rsidR="00246DF7" w:rsidRPr="00364635">
        <w:rPr>
          <w:szCs w:val="24"/>
        </w:rPr>
        <w:t>-</w:t>
      </w:r>
      <w:r w:rsidR="00CD446D" w:rsidRPr="00364635">
        <w:rPr>
          <w:szCs w:val="24"/>
        </w:rPr>
        <w:t>time</w:t>
      </w:r>
      <w:r w:rsidR="004F1881" w:rsidRPr="00364635">
        <w:rPr>
          <w:szCs w:val="24"/>
        </w:rPr>
        <w:t xml:space="preserve"> charging rate will increase to 39p per kWh. </w:t>
      </w:r>
    </w:p>
    <w:p w14:paraId="35BD7B5C" w14:textId="41325449" w:rsidR="004F1881" w:rsidRPr="00364635" w:rsidRDefault="004F1881" w:rsidP="00C92AFD">
      <w:pPr>
        <w:jc w:val="both"/>
        <w:rPr>
          <w:szCs w:val="24"/>
        </w:rPr>
      </w:pPr>
    </w:p>
    <w:p w14:paraId="7C34BE4F" w14:textId="33DFD0CA" w:rsidR="00820A7D" w:rsidRPr="00364635" w:rsidRDefault="00364635" w:rsidP="00820A7D">
      <w:pPr>
        <w:jc w:val="both"/>
        <w:rPr>
          <w:szCs w:val="24"/>
        </w:rPr>
      </w:pPr>
      <w:r w:rsidRPr="00364635">
        <w:rPr>
          <w:szCs w:val="24"/>
        </w:rPr>
        <w:t xml:space="preserve">2.20 </w:t>
      </w:r>
      <w:r w:rsidR="00C30EA0" w:rsidRPr="00364635">
        <w:rPr>
          <w:szCs w:val="24"/>
        </w:rPr>
        <w:t xml:space="preserve">As the charge point market continues to expand, the availability of funding is gradually being reduced, with the expectation that installation and operational costs are met by Councils and the market. Harrow will continue to make the most of these funding schemes, however the council should be prepared to look for alternative ways to ensure the continuing viability in future years. The Council will set out its future programme, and the proposed method for rolling out charge points in its Electric Vehicle Strategy due for completion this year. </w:t>
      </w:r>
    </w:p>
    <w:p w14:paraId="075C523A" w14:textId="77777777" w:rsidR="001246EE" w:rsidRDefault="001246EE">
      <w:pPr>
        <w:pStyle w:val="Heading2"/>
        <w:rPr>
          <w:rFonts w:ascii="Arial" w:hAnsi="Arial"/>
          <w:color w:val="0000FF"/>
          <w:sz w:val="28"/>
          <w:szCs w:val="28"/>
        </w:rPr>
      </w:pPr>
    </w:p>
    <w:p w14:paraId="6B9670BD" w14:textId="03B4EDF9" w:rsidR="007270F1" w:rsidRPr="005E158A" w:rsidRDefault="007270F1" w:rsidP="005E158A">
      <w:pPr>
        <w:pStyle w:val="Heading2"/>
        <w:rPr>
          <w:b w:val="0"/>
          <w:bCs w:val="0"/>
          <w:sz w:val="28"/>
          <w:szCs w:val="28"/>
        </w:rPr>
      </w:pPr>
      <w:r w:rsidRPr="005E158A">
        <w:rPr>
          <w:rFonts w:ascii="Arial" w:hAnsi="Arial"/>
          <w:sz w:val="28"/>
          <w:szCs w:val="28"/>
        </w:rPr>
        <w:t>Reason</w:t>
      </w:r>
      <w:r w:rsidR="001246EE">
        <w:rPr>
          <w:rFonts w:ascii="Arial" w:hAnsi="Arial"/>
          <w:sz w:val="28"/>
          <w:szCs w:val="28"/>
        </w:rPr>
        <w:t>s</w:t>
      </w:r>
      <w:r w:rsidRPr="005E158A">
        <w:rPr>
          <w:rFonts w:ascii="Arial" w:hAnsi="Arial"/>
          <w:sz w:val="28"/>
          <w:szCs w:val="28"/>
        </w:rPr>
        <w:t xml:space="preserve"> for Recommendation</w:t>
      </w:r>
    </w:p>
    <w:p w14:paraId="389CBA38" w14:textId="77777777" w:rsidR="00E36D5D" w:rsidRDefault="00E36D5D" w:rsidP="007270F1"/>
    <w:p w14:paraId="256F612C" w14:textId="6C330C09" w:rsidR="00C42EA7" w:rsidRPr="00FB246C" w:rsidRDefault="00FB246C" w:rsidP="00FB246C">
      <w:pPr>
        <w:jc w:val="both"/>
        <w:rPr>
          <w:szCs w:val="24"/>
        </w:rPr>
      </w:pPr>
      <w:r>
        <w:rPr>
          <w:szCs w:val="24"/>
        </w:rPr>
        <w:t xml:space="preserve">2.21 </w:t>
      </w:r>
      <w:r w:rsidR="00E36D5D" w:rsidRPr="00FB246C">
        <w:rPr>
          <w:szCs w:val="24"/>
        </w:rPr>
        <w:t xml:space="preserve">The rollout of further lamp column charge points plays a </w:t>
      </w:r>
      <w:r w:rsidR="008E4C22" w:rsidRPr="00FB246C">
        <w:rPr>
          <w:szCs w:val="24"/>
        </w:rPr>
        <w:t xml:space="preserve">key role in the reduction of </w:t>
      </w:r>
      <w:r w:rsidR="008A581D" w:rsidRPr="00FB246C">
        <w:rPr>
          <w:szCs w:val="24"/>
        </w:rPr>
        <w:t>transport-based</w:t>
      </w:r>
      <w:r w:rsidR="008E4C22" w:rsidRPr="00FB246C">
        <w:rPr>
          <w:szCs w:val="24"/>
        </w:rPr>
        <w:t xml:space="preserve"> emissions</w:t>
      </w:r>
      <w:r w:rsidR="00006BF1" w:rsidRPr="00FB246C">
        <w:rPr>
          <w:szCs w:val="24"/>
        </w:rPr>
        <w:t xml:space="preserve"> and i</w:t>
      </w:r>
      <w:r w:rsidR="00FC07EF" w:rsidRPr="00FB246C">
        <w:rPr>
          <w:szCs w:val="24"/>
        </w:rPr>
        <w:t>s integral t</w:t>
      </w:r>
      <w:r w:rsidR="00DA2298" w:rsidRPr="00FB246C">
        <w:rPr>
          <w:szCs w:val="24"/>
        </w:rPr>
        <w:t xml:space="preserve">o meeting net zero targets. </w:t>
      </w:r>
      <w:r w:rsidR="00D9112F" w:rsidRPr="00FB246C">
        <w:rPr>
          <w:szCs w:val="24"/>
        </w:rPr>
        <w:t>Furthermore,</w:t>
      </w:r>
      <w:r w:rsidR="00AC51A8" w:rsidRPr="00FB246C">
        <w:rPr>
          <w:szCs w:val="24"/>
        </w:rPr>
        <w:t xml:space="preserve"> it will support the council in meeting </w:t>
      </w:r>
      <w:r w:rsidR="00B1789A" w:rsidRPr="00FB246C">
        <w:rPr>
          <w:szCs w:val="24"/>
        </w:rPr>
        <w:t xml:space="preserve">transport decarbonisation </w:t>
      </w:r>
      <w:r w:rsidR="00AC51A8" w:rsidRPr="00FB246C">
        <w:rPr>
          <w:szCs w:val="24"/>
        </w:rPr>
        <w:t>objectives set out in the Climate and Nature Strategy</w:t>
      </w:r>
      <w:r w:rsidR="00C42EA7" w:rsidRPr="00FB246C">
        <w:rPr>
          <w:szCs w:val="24"/>
        </w:rPr>
        <w:t>.</w:t>
      </w:r>
      <w:r w:rsidR="00DA2298" w:rsidRPr="00FB246C">
        <w:rPr>
          <w:szCs w:val="24"/>
        </w:rPr>
        <w:t xml:space="preserve"> </w:t>
      </w:r>
      <w:r w:rsidR="00C42EA7" w:rsidRPr="00FB246C">
        <w:rPr>
          <w:szCs w:val="24"/>
        </w:rPr>
        <w:t xml:space="preserve">Lamp column charge points </w:t>
      </w:r>
      <w:r w:rsidR="0049465B" w:rsidRPr="00FB246C">
        <w:rPr>
          <w:szCs w:val="24"/>
        </w:rPr>
        <w:t>provide an easy and cost-efficient solution</w:t>
      </w:r>
      <w:r w:rsidR="006A7674" w:rsidRPr="00FB246C">
        <w:rPr>
          <w:szCs w:val="24"/>
        </w:rPr>
        <w:t xml:space="preserve"> to meeting the demands</w:t>
      </w:r>
      <w:r w:rsidR="008B1999" w:rsidRPr="00FB246C">
        <w:rPr>
          <w:szCs w:val="24"/>
        </w:rPr>
        <w:t xml:space="preserve"> for residential charging. </w:t>
      </w:r>
    </w:p>
    <w:p w14:paraId="0F65B989" w14:textId="77777777" w:rsidR="001058BD" w:rsidRPr="00FB246C" w:rsidRDefault="001058BD" w:rsidP="00FB246C">
      <w:pPr>
        <w:jc w:val="both"/>
        <w:rPr>
          <w:szCs w:val="24"/>
        </w:rPr>
      </w:pPr>
    </w:p>
    <w:p w14:paraId="51B777DD" w14:textId="2FB03756" w:rsidR="008B1999" w:rsidRPr="00FB246C" w:rsidRDefault="00FB246C" w:rsidP="00FB246C">
      <w:pPr>
        <w:jc w:val="both"/>
        <w:rPr>
          <w:szCs w:val="24"/>
        </w:rPr>
      </w:pPr>
      <w:r>
        <w:rPr>
          <w:szCs w:val="24"/>
        </w:rPr>
        <w:t xml:space="preserve">2.22 </w:t>
      </w:r>
      <w:r w:rsidR="00244D01" w:rsidRPr="00FB246C">
        <w:rPr>
          <w:szCs w:val="24"/>
        </w:rPr>
        <w:t xml:space="preserve">Adhoc </w:t>
      </w:r>
      <w:r w:rsidR="00225CC3" w:rsidRPr="00FB246C">
        <w:rPr>
          <w:szCs w:val="24"/>
        </w:rPr>
        <w:t xml:space="preserve">development </w:t>
      </w:r>
      <w:r w:rsidR="00431A54" w:rsidRPr="00FB246C">
        <w:rPr>
          <w:szCs w:val="24"/>
        </w:rPr>
        <w:t>of</w:t>
      </w:r>
      <w:r w:rsidR="00225CC3" w:rsidRPr="00FB246C">
        <w:rPr>
          <w:szCs w:val="24"/>
        </w:rPr>
        <w:t xml:space="preserve"> E</w:t>
      </w:r>
      <w:r w:rsidR="00F24106" w:rsidRPr="00FB246C">
        <w:rPr>
          <w:szCs w:val="24"/>
        </w:rPr>
        <w:t xml:space="preserve">V charging in Harrow </w:t>
      </w:r>
      <w:r w:rsidR="00964B82" w:rsidRPr="00FB246C">
        <w:rPr>
          <w:szCs w:val="24"/>
        </w:rPr>
        <w:t xml:space="preserve">to date </w:t>
      </w:r>
      <w:r w:rsidR="00F24106" w:rsidRPr="00FB246C">
        <w:rPr>
          <w:szCs w:val="24"/>
        </w:rPr>
        <w:t>means a</w:t>
      </w:r>
      <w:r w:rsidR="007D4595" w:rsidRPr="00FB246C">
        <w:rPr>
          <w:szCs w:val="24"/>
        </w:rPr>
        <w:t xml:space="preserve">n </w:t>
      </w:r>
      <w:r w:rsidR="004C0C72" w:rsidRPr="00FB246C">
        <w:rPr>
          <w:szCs w:val="24"/>
        </w:rPr>
        <w:t xml:space="preserve">accelerated </w:t>
      </w:r>
      <w:r w:rsidR="00F24106" w:rsidRPr="00FB246C">
        <w:rPr>
          <w:szCs w:val="24"/>
        </w:rPr>
        <w:t xml:space="preserve">and effective programme </w:t>
      </w:r>
      <w:r w:rsidR="001740D3" w:rsidRPr="00FB246C">
        <w:rPr>
          <w:szCs w:val="24"/>
        </w:rPr>
        <w:t xml:space="preserve">is required </w:t>
      </w:r>
      <w:r w:rsidR="00355137" w:rsidRPr="00FB246C">
        <w:rPr>
          <w:szCs w:val="24"/>
        </w:rPr>
        <w:t>to</w:t>
      </w:r>
      <w:r w:rsidR="00B1789A" w:rsidRPr="00FB246C">
        <w:rPr>
          <w:szCs w:val="24"/>
        </w:rPr>
        <w:t xml:space="preserve"> work towards net zero</w:t>
      </w:r>
      <w:r w:rsidR="001740D3" w:rsidRPr="00FB246C">
        <w:rPr>
          <w:szCs w:val="24"/>
        </w:rPr>
        <w:t>.</w:t>
      </w:r>
      <w:r w:rsidR="007D4595" w:rsidRPr="00FB246C">
        <w:rPr>
          <w:szCs w:val="24"/>
        </w:rPr>
        <w:t xml:space="preserve"> The programme will not only look to </w:t>
      </w:r>
      <w:r w:rsidR="002A5227" w:rsidRPr="00FB246C">
        <w:rPr>
          <w:szCs w:val="24"/>
        </w:rPr>
        <w:t>support residents who already own</w:t>
      </w:r>
      <w:r w:rsidR="0063554B" w:rsidRPr="00FB246C">
        <w:rPr>
          <w:szCs w:val="24"/>
        </w:rPr>
        <w:t xml:space="preserve"> electric </w:t>
      </w:r>
      <w:r w:rsidR="00355137" w:rsidRPr="00FB246C">
        <w:rPr>
          <w:szCs w:val="24"/>
        </w:rPr>
        <w:t>vehicle</w:t>
      </w:r>
      <w:r w:rsidR="006E6E85" w:rsidRPr="00FB246C">
        <w:rPr>
          <w:szCs w:val="24"/>
        </w:rPr>
        <w:t>s</w:t>
      </w:r>
      <w:r w:rsidR="00355137" w:rsidRPr="00FB246C">
        <w:rPr>
          <w:szCs w:val="24"/>
        </w:rPr>
        <w:t xml:space="preserve"> but</w:t>
      </w:r>
      <w:r w:rsidR="0063554B" w:rsidRPr="00FB246C">
        <w:rPr>
          <w:szCs w:val="24"/>
        </w:rPr>
        <w:t xml:space="preserve"> also look to encourage the uptake of </w:t>
      </w:r>
      <w:r w:rsidR="00DF2DE0" w:rsidRPr="00FB246C">
        <w:rPr>
          <w:szCs w:val="24"/>
        </w:rPr>
        <w:t>ownership</w:t>
      </w:r>
      <w:r w:rsidR="009B52AA" w:rsidRPr="00FB246C">
        <w:rPr>
          <w:szCs w:val="24"/>
        </w:rPr>
        <w:t xml:space="preserve"> </w:t>
      </w:r>
      <w:r w:rsidR="00332C14" w:rsidRPr="00FB246C">
        <w:rPr>
          <w:szCs w:val="24"/>
        </w:rPr>
        <w:t>in the borough</w:t>
      </w:r>
      <w:r w:rsidR="003E734C" w:rsidRPr="00FB246C">
        <w:rPr>
          <w:szCs w:val="24"/>
        </w:rPr>
        <w:t xml:space="preserve">. </w:t>
      </w:r>
    </w:p>
    <w:p w14:paraId="3AB82499" w14:textId="77777777" w:rsidR="001058BD" w:rsidRPr="00FB246C" w:rsidRDefault="001058BD" w:rsidP="00FB246C">
      <w:pPr>
        <w:jc w:val="both"/>
        <w:rPr>
          <w:szCs w:val="24"/>
        </w:rPr>
      </w:pPr>
    </w:p>
    <w:p w14:paraId="6B7ED8FF" w14:textId="190F7CC3" w:rsidR="000C03D5" w:rsidRPr="00FB246C" w:rsidRDefault="00FB246C" w:rsidP="00FB246C">
      <w:pPr>
        <w:jc w:val="both"/>
        <w:rPr>
          <w:szCs w:val="24"/>
        </w:rPr>
      </w:pPr>
      <w:r>
        <w:rPr>
          <w:szCs w:val="24"/>
        </w:rPr>
        <w:t xml:space="preserve">2.23 </w:t>
      </w:r>
      <w:r w:rsidR="007C4AFE" w:rsidRPr="00FB246C">
        <w:rPr>
          <w:szCs w:val="24"/>
        </w:rPr>
        <w:t>Following on from the successful installation</w:t>
      </w:r>
      <w:r w:rsidR="0084673E" w:rsidRPr="00FB246C">
        <w:rPr>
          <w:szCs w:val="24"/>
        </w:rPr>
        <w:t xml:space="preserve"> of 24 lamp columns charge points, </w:t>
      </w:r>
      <w:r w:rsidR="00CC0C46" w:rsidRPr="00FB246C">
        <w:rPr>
          <w:szCs w:val="24"/>
        </w:rPr>
        <w:t xml:space="preserve">it is </w:t>
      </w:r>
      <w:r w:rsidR="00211441" w:rsidRPr="00FB246C">
        <w:rPr>
          <w:szCs w:val="24"/>
        </w:rPr>
        <w:t>necessary to expand a range of options for residents and visitor</w:t>
      </w:r>
      <w:r w:rsidR="00D60710" w:rsidRPr="00FB246C">
        <w:rPr>
          <w:szCs w:val="24"/>
        </w:rPr>
        <w:t>s</w:t>
      </w:r>
      <w:r w:rsidR="00042CE4" w:rsidRPr="00FB246C">
        <w:rPr>
          <w:szCs w:val="24"/>
        </w:rPr>
        <w:t>, to deliver additional fast chargers and rapid charge points</w:t>
      </w:r>
      <w:r w:rsidR="00D60710" w:rsidRPr="00FB246C">
        <w:rPr>
          <w:szCs w:val="24"/>
        </w:rPr>
        <w:t xml:space="preserve">. While lamp columns </w:t>
      </w:r>
      <w:r w:rsidR="00042ECD" w:rsidRPr="00FB246C">
        <w:rPr>
          <w:szCs w:val="24"/>
        </w:rPr>
        <w:t xml:space="preserve">are </w:t>
      </w:r>
      <w:r w:rsidR="00596848" w:rsidRPr="00FB246C">
        <w:rPr>
          <w:szCs w:val="24"/>
        </w:rPr>
        <w:t>currently the</w:t>
      </w:r>
      <w:r w:rsidR="00D60710" w:rsidRPr="00FB246C">
        <w:rPr>
          <w:szCs w:val="24"/>
        </w:rPr>
        <w:t xml:space="preserve"> preferred type of infrastructure for chargin</w:t>
      </w:r>
      <w:r w:rsidR="00D21BF0" w:rsidRPr="00FB246C">
        <w:rPr>
          <w:szCs w:val="24"/>
        </w:rPr>
        <w:t>g in residential areas</w:t>
      </w:r>
      <w:r w:rsidR="001A243B" w:rsidRPr="00FB246C">
        <w:rPr>
          <w:szCs w:val="24"/>
        </w:rPr>
        <w:t xml:space="preserve">, </w:t>
      </w:r>
      <w:r w:rsidR="004E10E7" w:rsidRPr="00FB246C">
        <w:rPr>
          <w:szCs w:val="24"/>
        </w:rPr>
        <w:t xml:space="preserve">and residential charging provision will remain the mainstay of future charging infrastructure locally and nationally, </w:t>
      </w:r>
      <w:r w:rsidR="00964B82" w:rsidRPr="00FB246C">
        <w:rPr>
          <w:szCs w:val="24"/>
        </w:rPr>
        <w:t xml:space="preserve">faster charging provision in </w:t>
      </w:r>
      <w:r w:rsidR="001A243B" w:rsidRPr="00FB246C">
        <w:rPr>
          <w:szCs w:val="24"/>
        </w:rPr>
        <w:t>other areas such as Town Centres</w:t>
      </w:r>
      <w:r w:rsidR="001058BD" w:rsidRPr="00FB246C">
        <w:rPr>
          <w:szCs w:val="24"/>
        </w:rPr>
        <w:t>, Council Car Parks</w:t>
      </w:r>
      <w:r w:rsidR="001A243B" w:rsidRPr="00FB246C">
        <w:rPr>
          <w:szCs w:val="24"/>
        </w:rPr>
        <w:t xml:space="preserve"> </w:t>
      </w:r>
      <w:r w:rsidR="00596848" w:rsidRPr="00FB246C">
        <w:rPr>
          <w:szCs w:val="24"/>
        </w:rPr>
        <w:t xml:space="preserve">and main routes are </w:t>
      </w:r>
      <w:r w:rsidR="004E10E7" w:rsidRPr="00FB246C">
        <w:rPr>
          <w:szCs w:val="24"/>
        </w:rPr>
        <w:t xml:space="preserve">also </w:t>
      </w:r>
      <w:r w:rsidR="00596848" w:rsidRPr="00FB246C">
        <w:rPr>
          <w:szCs w:val="24"/>
        </w:rPr>
        <w:t>crucial in expanding options</w:t>
      </w:r>
      <w:r w:rsidR="000C7966" w:rsidRPr="00FB246C">
        <w:rPr>
          <w:szCs w:val="24"/>
        </w:rPr>
        <w:t xml:space="preserve"> in Harrow</w:t>
      </w:r>
      <w:r w:rsidR="004E10E7" w:rsidRPr="00FB246C">
        <w:rPr>
          <w:szCs w:val="24"/>
        </w:rPr>
        <w:t xml:space="preserve"> and enabling the </w:t>
      </w:r>
      <w:r w:rsidR="005465C0" w:rsidRPr="00FB246C">
        <w:rPr>
          <w:szCs w:val="24"/>
        </w:rPr>
        <w:t xml:space="preserve">progressive </w:t>
      </w:r>
      <w:r w:rsidR="004E10E7" w:rsidRPr="00FB246C">
        <w:rPr>
          <w:szCs w:val="24"/>
        </w:rPr>
        <w:t>electrification of road transport in the borough</w:t>
      </w:r>
      <w:r w:rsidR="000C7966" w:rsidRPr="00FB246C">
        <w:rPr>
          <w:szCs w:val="24"/>
        </w:rPr>
        <w:t xml:space="preserve">. </w:t>
      </w:r>
    </w:p>
    <w:p w14:paraId="23376C92" w14:textId="77777777" w:rsidR="0093612A" w:rsidRDefault="0093612A" w:rsidP="00A81C77">
      <w:pPr>
        <w:rPr>
          <w:rFonts w:cs="Arial"/>
          <w:sz w:val="22"/>
          <w:szCs w:val="22"/>
        </w:rPr>
      </w:pPr>
    </w:p>
    <w:p w14:paraId="60D21316" w14:textId="77777777" w:rsidR="00A81C77" w:rsidRPr="005E158A" w:rsidRDefault="00A81C77" w:rsidP="00A81C77">
      <w:pPr>
        <w:pStyle w:val="Heading2"/>
        <w:rPr>
          <w:rFonts w:ascii="Arial" w:hAnsi="Arial"/>
          <w:sz w:val="28"/>
          <w:szCs w:val="28"/>
        </w:rPr>
      </w:pPr>
      <w:r w:rsidRPr="005E158A">
        <w:rPr>
          <w:rFonts w:ascii="Arial" w:hAnsi="Arial"/>
          <w:sz w:val="28"/>
          <w:szCs w:val="28"/>
        </w:rPr>
        <w:t>Implications of the Recommendation</w:t>
      </w:r>
    </w:p>
    <w:p w14:paraId="214084E1" w14:textId="77777777" w:rsidR="00A81C77" w:rsidRDefault="00A81C77" w:rsidP="00A81C77">
      <w:pPr>
        <w:rPr>
          <w:szCs w:val="24"/>
        </w:rPr>
      </w:pPr>
    </w:p>
    <w:p w14:paraId="558DF7F7" w14:textId="1F75350C" w:rsidR="00B90FDC" w:rsidRPr="00FB246C" w:rsidRDefault="00FB246C" w:rsidP="00A81C77">
      <w:pPr>
        <w:rPr>
          <w:szCs w:val="24"/>
        </w:rPr>
      </w:pPr>
      <w:r w:rsidRPr="00FB246C">
        <w:rPr>
          <w:rFonts w:cs="Arial"/>
          <w:szCs w:val="24"/>
        </w:rPr>
        <w:t xml:space="preserve">2.24 </w:t>
      </w:r>
      <w:r w:rsidR="00B90FDC" w:rsidRPr="00FB246C">
        <w:rPr>
          <w:rFonts w:cs="Arial"/>
          <w:szCs w:val="24"/>
        </w:rPr>
        <w:t>Officers are therefore seeking</w:t>
      </w:r>
      <w:r w:rsidR="004E10E7" w:rsidRPr="00FB246C">
        <w:rPr>
          <w:rFonts w:cs="Arial"/>
          <w:szCs w:val="24"/>
        </w:rPr>
        <w:t>, firstly,</w:t>
      </w:r>
      <w:r w:rsidR="00B90FDC" w:rsidRPr="00FB246C">
        <w:rPr>
          <w:rFonts w:cs="Arial"/>
          <w:szCs w:val="24"/>
        </w:rPr>
        <w:t xml:space="preserve"> authority </w:t>
      </w:r>
      <w:r w:rsidR="00AF5F6D" w:rsidRPr="00FB246C">
        <w:rPr>
          <w:rFonts w:cs="Arial"/>
          <w:szCs w:val="24"/>
        </w:rPr>
        <w:t>to deve</w:t>
      </w:r>
      <w:r w:rsidR="004E10E7" w:rsidRPr="00FB246C">
        <w:rPr>
          <w:rFonts w:cs="Arial"/>
          <w:szCs w:val="24"/>
        </w:rPr>
        <w:t xml:space="preserve">lop proposals for an increase in </w:t>
      </w:r>
      <w:r w:rsidR="00AF5F6D" w:rsidRPr="00FB246C">
        <w:rPr>
          <w:rFonts w:cs="Arial"/>
          <w:szCs w:val="24"/>
        </w:rPr>
        <w:t xml:space="preserve">rapid charging </w:t>
      </w:r>
      <w:r w:rsidR="004E10E7" w:rsidRPr="00FB246C">
        <w:rPr>
          <w:rFonts w:cs="Arial"/>
          <w:szCs w:val="24"/>
        </w:rPr>
        <w:t>provision on Council assets</w:t>
      </w:r>
      <w:r w:rsidR="00442BDB" w:rsidRPr="00FB246C">
        <w:rPr>
          <w:rFonts w:cs="Arial"/>
          <w:szCs w:val="24"/>
        </w:rPr>
        <w:t xml:space="preserve">, and </w:t>
      </w:r>
      <w:r w:rsidR="00EF3E9E" w:rsidRPr="00FB246C">
        <w:rPr>
          <w:szCs w:val="24"/>
        </w:rPr>
        <w:t>to award a contract for rapid charging installation in Harrow, following a compliant procurement process</w:t>
      </w:r>
      <w:r w:rsidR="00923F7D" w:rsidRPr="00FB246C">
        <w:rPr>
          <w:szCs w:val="24"/>
        </w:rPr>
        <w:t xml:space="preserve"> and</w:t>
      </w:r>
      <w:r w:rsidR="0044190D" w:rsidRPr="00FB246C">
        <w:rPr>
          <w:szCs w:val="24"/>
        </w:rPr>
        <w:t xml:space="preserve"> consultation with the Portfolio Holder for Environment and Community Safety</w:t>
      </w:r>
      <w:r w:rsidR="00923F7D" w:rsidRPr="00FB246C">
        <w:rPr>
          <w:szCs w:val="24"/>
        </w:rPr>
        <w:t xml:space="preserve"> and Director for Place.</w:t>
      </w:r>
      <w:r>
        <w:rPr>
          <w:szCs w:val="24"/>
        </w:rPr>
        <w:t xml:space="preserve"> </w:t>
      </w:r>
      <w:r w:rsidR="004E10E7" w:rsidRPr="00FB246C">
        <w:rPr>
          <w:rFonts w:cs="Arial"/>
          <w:szCs w:val="24"/>
        </w:rPr>
        <w:t xml:space="preserve">Secondly, authority is sought to </w:t>
      </w:r>
      <w:r w:rsidR="00B90FDC" w:rsidRPr="00FB246C">
        <w:rPr>
          <w:rFonts w:cs="Arial"/>
          <w:szCs w:val="24"/>
        </w:rPr>
        <w:t xml:space="preserve">undertake a procurement necessary to </w:t>
      </w:r>
      <w:r w:rsidR="00964B82" w:rsidRPr="00FB246C">
        <w:rPr>
          <w:rFonts w:cs="Arial"/>
          <w:szCs w:val="24"/>
        </w:rPr>
        <w:t xml:space="preserve">test </w:t>
      </w:r>
      <w:r w:rsidR="00B90FDC" w:rsidRPr="00FB246C">
        <w:rPr>
          <w:rFonts w:cs="Arial"/>
          <w:szCs w:val="24"/>
        </w:rPr>
        <w:t xml:space="preserve">the market and secure a charge point operator to install and maintain </w:t>
      </w:r>
      <w:r w:rsidR="004E10E7" w:rsidRPr="00FB246C">
        <w:rPr>
          <w:rFonts w:cs="Arial"/>
          <w:szCs w:val="24"/>
        </w:rPr>
        <w:t xml:space="preserve">our next tranche of residential </w:t>
      </w:r>
      <w:r w:rsidR="00B90FDC" w:rsidRPr="00FB246C">
        <w:rPr>
          <w:rFonts w:cs="Arial"/>
          <w:szCs w:val="24"/>
        </w:rPr>
        <w:t xml:space="preserve">lamp column charge points. This will </w:t>
      </w:r>
      <w:r w:rsidR="004E10E7" w:rsidRPr="00FB246C">
        <w:rPr>
          <w:rFonts w:cs="Arial"/>
          <w:szCs w:val="24"/>
        </w:rPr>
        <w:t xml:space="preserve">significantly </w:t>
      </w:r>
      <w:r w:rsidR="00B90FDC" w:rsidRPr="00FB246C">
        <w:rPr>
          <w:rFonts w:cs="Arial"/>
          <w:szCs w:val="24"/>
        </w:rPr>
        <w:t>increase the network of available options to residents and visitors</w:t>
      </w:r>
      <w:r w:rsidR="004E10E7" w:rsidRPr="00FB246C">
        <w:rPr>
          <w:rFonts w:cs="Arial"/>
          <w:szCs w:val="24"/>
        </w:rPr>
        <w:t xml:space="preserve"> in Harrow over the next year</w:t>
      </w:r>
      <w:r w:rsidR="00B90FDC" w:rsidRPr="00FB246C">
        <w:rPr>
          <w:rFonts w:cs="Arial"/>
          <w:szCs w:val="24"/>
        </w:rPr>
        <w:t>. The proposed procurement will secure a partner</w:t>
      </w:r>
      <w:r w:rsidR="00734976" w:rsidRPr="00FB246C">
        <w:rPr>
          <w:rFonts w:cs="Arial"/>
          <w:szCs w:val="24"/>
        </w:rPr>
        <w:t xml:space="preserve"> </w:t>
      </w:r>
      <w:r w:rsidR="00B90FDC" w:rsidRPr="00FB246C">
        <w:rPr>
          <w:rFonts w:cs="Arial"/>
          <w:szCs w:val="24"/>
        </w:rPr>
        <w:t xml:space="preserve">that can meet project deliverables and </w:t>
      </w:r>
      <w:r w:rsidR="004E10E7" w:rsidRPr="00FB246C">
        <w:rPr>
          <w:rFonts w:cs="Arial"/>
          <w:szCs w:val="24"/>
        </w:rPr>
        <w:t xml:space="preserve">will </w:t>
      </w:r>
      <w:r w:rsidR="002D4AA1" w:rsidRPr="00FB246C">
        <w:rPr>
          <w:rFonts w:cs="Arial"/>
          <w:szCs w:val="24"/>
        </w:rPr>
        <w:t xml:space="preserve">enable the installation of up to 225 charge points </w:t>
      </w:r>
      <w:r w:rsidR="00890E76" w:rsidRPr="00FB246C">
        <w:rPr>
          <w:rFonts w:cs="Arial"/>
          <w:szCs w:val="24"/>
        </w:rPr>
        <w:t xml:space="preserve">by March 2024 </w:t>
      </w:r>
      <w:r w:rsidR="00C95B97" w:rsidRPr="00FB246C">
        <w:rPr>
          <w:rFonts w:cs="Arial"/>
          <w:szCs w:val="24"/>
        </w:rPr>
        <w:t>for a</w:t>
      </w:r>
      <w:r w:rsidR="0089080A" w:rsidRPr="00FB246C">
        <w:rPr>
          <w:rFonts w:cs="Arial"/>
          <w:szCs w:val="24"/>
        </w:rPr>
        <w:t xml:space="preserve"> total contract length of 10 </w:t>
      </w:r>
      <w:r w:rsidR="0064372F" w:rsidRPr="00FB246C">
        <w:rPr>
          <w:rFonts w:cs="Arial"/>
          <w:szCs w:val="24"/>
        </w:rPr>
        <w:t>years</w:t>
      </w:r>
      <w:r w:rsidR="00B45F81" w:rsidRPr="00FB246C">
        <w:rPr>
          <w:szCs w:val="24"/>
        </w:rPr>
        <w:t xml:space="preserve"> plus an additional 5-year extension option</w:t>
      </w:r>
      <w:r w:rsidR="0064372F" w:rsidRPr="00FB246C">
        <w:rPr>
          <w:rFonts w:cs="Arial"/>
          <w:szCs w:val="24"/>
        </w:rPr>
        <w:t xml:space="preserve">. By undertaking the procurement exercise, Harrow </w:t>
      </w:r>
      <w:r w:rsidR="00EB4975" w:rsidRPr="00FB246C">
        <w:rPr>
          <w:rFonts w:cs="Arial"/>
          <w:szCs w:val="24"/>
        </w:rPr>
        <w:t xml:space="preserve">would not obligate itself to enter a contract </w:t>
      </w:r>
      <w:r w:rsidR="00794757" w:rsidRPr="00FB246C">
        <w:rPr>
          <w:rFonts w:cs="Arial"/>
          <w:szCs w:val="24"/>
        </w:rPr>
        <w:t xml:space="preserve">until a full decision has been made in consultation with </w:t>
      </w:r>
      <w:r w:rsidR="002B4905" w:rsidRPr="00FB246C">
        <w:rPr>
          <w:rFonts w:cs="Arial"/>
          <w:szCs w:val="24"/>
        </w:rPr>
        <w:t xml:space="preserve">the Portfolio </w:t>
      </w:r>
      <w:r w:rsidR="00720ED7" w:rsidRPr="00FB246C">
        <w:rPr>
          <w:rFonts w:cs="Arial"/>
          <w:szCs w:val="24"/>
        </w:rPr>
        <w:t>Holder for Environment,</w:t>
      </w:r>
      <w:r w:rsidR="007F2B9C" w:rsidRPr="00FB246C">
        <w:rPr>
          <w:rFonts w:cs="Arial"/>
          <w:szCs w:val="24"/>
        </w:rPr>
        <w:t xml:space="preserve"> and </w:t>
      </w:r>
      <w:r w:rsidR="002B4905" w:rsidRPr="00FB246C">
        <w:rPr>
          <w:rFonts w:cs="Arial"/>
          <w:szCs w:val="24"/>
        </w:rPr>
        <w:t>Director for Place</w:t>
      </w:r>
      <w:r w:rsidR="00F90441" w:rsidRPr="00FB246C">
        <w:rPr>
          <w:rFonts w:cs="Arial"/>
          <w:szCs w:val="24"/>
        </w:rPr>
        <w:t>, in accordance with the Council</w:t>
      </w:r>
      <w:r w:rsidR="00AD7C3C" w:rsidRPr="00FB246C">
        <w:rPr>
          <w:rFonts w:cs="Arial"/>
          <w:szCs w:val="24"/>
        </w:rPr>
        <w:t>’</w:t>
      </w:r>
      <w:r w:rsidR="00F90441" w:rsidRPr="00FB246C">
        <w:rPr>
          <w:rFonts w:cs="Arial"/>
          <w:szCs w:val="24"/>
        </w:rPr>
        <w:t xml:space="preserve">s Contract procedure rules. </w:t>
      </w:r>
    </w:p>
    <w:p w14:paraId="3ABAA802" w14:textId="77777777" w:rsidR="00A81C77" w:rsidRPr="00F06E4E" w:rsidRDefault="00A81C77" w:rsidP="00A81C77">
      <w:pPr>
        <w:spacing w:before="240"/>
        <w:rPr>
          <w:b/>
          <w:szCs w:val="24"/>
        </w:rPr>
      </w:pPr>
      <w:r w:rsidRPr="00F06E4E">
        <w:rPr>
          <w:b/>
          <w:szCs w:val="24"/>
        </w:rPr>
        <w:t xml:space="preserve">Ward Councillors’ comments </w:t>
      </w:r>
    </w:p>
    <w:p w14:paraId="25CC1FE2" w14:textId="77777777" w:rsidR="00A81C77" w:rsidRDefault="00A81C77" w:rsidP="00A81C77">
      <w:pPr>
        <w:rPr>
          <w:b/>
        </w:rPr>
      </w:pPr>
    </w:p>
    <w:p w14:paraId="7EAFE31F" w14:textId="25D3A83B" w:rsidR="00B429A5" w:rsidRPr="005E158A" w:rsidRDefault="00FB246C" w:rsidP="00A81C77">
      <w:pPr>
        <w:rPr>
          <w:bCs/>
        </w:rPr>
      </w:pPr>
      <w:r>
        <w:rPr>
          <w:bCs/>
        </w:rPr>
        <w:t xml:space="preserve">2.25 </w:t>
      </w:r>
      <w:r w:rsidR="00B429A5" w:rsidRPr="005E158A">
        <w:rPr>
          <w:bCs/>
        </w:rPr>
        <w:t xml:space="preserve">None as </w:t>
      </w:r>
      <w:r w:rsidR="00667CCF" w:rsidRPr="005E158A">
        <w:rPr>
          <w:bCs/>
        </w:rPr>
        <w:t>it impacts all wards</w:t>
      </w:r>
    </w:p>
    <w:p w14:paraId="1A9AA638" w14:textId="77777777" w:rsidR="00A81C77" w:rsidRDefault="00A81C77" w:rsidP="00A81C77">
      <w:pPr>
        <w:pStyle w:val="Heading3"/>
        <w:spacing w:before="480" w:after="240"/>
      </w:pPr>
      <w:r>
        <w:t>Risk Management Implications</w:t>
      </w:r>
    </w:p>
    <w:p w14:paraId="3D953BD5" w14:textId="77777777" w:rsidR="00A81C77" w:rsidRDefault="00A81C77" w:rsidP="00A81C77">
      <w:pPr>
        <w:tabs>
          <w:tab w:val="left" w:pos="5610"/>
        </w:tabs>
        <w:ind w:left="567" w:right="81" w:hanging="567"/>
        <w:rPr>
          <w:rFonts w:cs="Arial"/>
          <w:szCs w:val="24"/>
          <w:lang w:val="en-US"/>
        </w:rPr>
      </w:pPr>
      <w:bookmarkStart w:id="0" w:name="_Hlk60923477"/>
      <w:bookmarkStart w:id="1" w:name="_Hlk60922991"/>
      <w:bookmarkStart w:id="2" w:name="_Hlk60923939"/>
    </w:p>
    <w:p w14:paraId="212539C4" w14:textId="48AC2991" w:rsidR="00A81C77" w:rsidRPr="00105B8A" w:rsidRDefault="00FB246C" w:rsidP="00A81C77">
      <w:pPr>
        <w:tabs>
          <w:tab w:val="left" w:pos="5610"/>
        </w:tabs>
        <w:ind w:right="81"/>
        <w:rPr>
          <w:color w:val="0000FF"/>
        </w:rPr>
      </w:pPr>
      <w:r>
        <w:rPr>
          <w:rFonts w:cs="Arial"/>
          <w:szCs w:val="24"/>
          <w:lang w:val="en-US"/>
        </w:rPr>
        <w:t xml:space="preserve">2.26 </w:t>
      </w:r>
      <w:r w:rsidR="00A81C77">
        <w:rPr>
          <w:rFonts w:cs="Arial"/>
          <w:szCs w:val="24"/>
          <w:lang w:val="en-US"/>
        </w:rPr>
        <w:t xml:space="preserve">Risks included on corporate or directorate risk register? </w:t>
      </w:r>
      <w:r w:rsidR="00A81C77">
        <w:rPr>
          <w:rFonts w:cs="Arial"/>
          <w:b/>
          <w:bCs/>
          <w:szCs w:val="24"/>
          <w:lang w:val="en-US"/>
        </w:rPr>
        <w:t>No</w:t>
      </w:r>
      <w:r w:rsidR="00A81C77">
        <w:rPr>
          <w:rFonts w:cs="Arial"/>
          <w:szCs w:val="24"/>
          <w:lang w:val="en-US"/>
        </w:rPr>
        <w:t xml:space="preserve"> </w:t>
      </w:r>
    </w:p>
    <w:p w14:paraId="2C25D072" w14:textId="77777777" w:rsidR="00A81C77" w:rsidRDefault="00A81C77" w:rsidP="00A81C77">
      <w:pPr>
        <w:ind w:left="-142" w:right="141"/>
        <w:rPr>
          <w:rFonts w:cs="Arial"/>
          <w:szCs w:val="24"/>
          <w:lang w:val="en-US" w:eastAsia="en-GB"/>
        </w:rPr>
      </w:pPr>
      <w:r>
        <w:rPr>
          <w:rFonts w:cs="Arial"/>
          <w:szCs w:val="24"/>
          <w:lang w:val="en-US" w:eastAsia="en-GB"/>
        </w:rPr>
        <w:t xml:space="preserve">  </w:t>
      </w:r>
    </w:p>
    <w:p w14:paraId="41BA80C0" w14:textId="42B8AFEA" w:rsidR="00A81C77" w:rsidRDefault="00FB246C" w:rsidP="00A81C77">
      <w:pPr>
        <w:ind w:left="-142" w:right="141" w:firstLine="142"/>
        <w:rPr>
          <w:rFonts w:cs="Arial"/>
          <w:color w:val="4472C4" w:themeColor="accent1"/>
          <w:szCs w:val="24"/>
          <w:lang w:val="en-US" w:eastAsia="en-GB"/>
        </w:rPr>
      </w:pPr>
      <w:r>
        <w:rPr>
          <w:rFonts w:cs="Arial"/>
          <w:szCs w:val="24"/>
          <w:lang w:val="en-US" w:eastAsia="en-GB"/>
        </w:rPr>
        <w:t xml:space="preserve">2.27 </w:t>
      </w:r>
      <w:r w:rsidR="00A81C77">
        <w:rPr>
          <w:rFonts w:cs="Arial"/>
          <w:szCs w:val="24"/>
          <w:lang w:val="en-US" w:eastAsia="en-GB"/>
        </w:rPr>
        <w:t xml:space="preserve">Separate risk register in place? </w:t>
      </w:r>
      <w:r w:rsidR="00A81C77">
        <w:rPr>
          <w:rFonts w:cs="Arial"/>
          <w:b/>
          <w:bCs/>
          <w:szCs w:val="24"/>
          <w:lang w:val="en-US" w:eastAsia="en-GB"/>
        </w:rPr>
        <w:t>Yes</w:t>
      </w:r>
    </w:p>
    <w:p w14:paraId="2AEA2FB3" w14:textId="77777777" w:rsidR="00A81C77" w:rsidRDefault="00A81C77" w:rsidP="00A81C77">
      <w:pPr>
        <w:tabs>
          <w:tab w:val="left" w:pos="5610"/>
        </w:tabs>
        <w:ind w:left="567" w:right="81" w:hanging="567"/>
      </w:pPr>
    </w:p>
    <w:p w14:paraId="7534B9B8" w14:textId="3150F9E7" w:rsidR="00A81C77" w:rsidRDefault="00FB246C" w:rsidP="00A81C77">
      <w:pPr>
        <w:tabs>
          <w:tab w:val="left" w:pos="5610"/>
        </w:tabs>
        <w:ind w:right="81"/>
      </w:pPr>
      <w:r>
        <w:t xml:space="preserve">2.28 </w:t>
      </w:r>
      <w:r w:rsidR="00A81C77">
        <w:t>The relevant risks contained in the register are attached/summarised below.</w:t>
      </w:r>
      <w:r w:rsidR="00D33902" w:rsidRPr="7F973119">
        <w:rPr>
          <w:rFonts w:cs="Arial"/>
          <w:b/>
          <w:lang w:val="en-US" w:eastAsia="en-GB"/>
        </w:rPr>
        <w:t xml:space="preserve"> </w:t>
      </w:r>
      <w:r w:rsidR="28A1D016" w:rsidRPr="708573A1">
        <w:rPr>
          <w:rFonts w:cs="Arial"/>
          <w:b/>
          <w:bCs/>
          <w:lang w:val="en-US" w:eastAsia="en-GB"/>
        </w:rPr>
        <w:t>Yes</w:t>
      </w:r>
    </w:p>
    <w:p w14:paraId="02C5C3EE" w14:textId="77777777" w:rsidR="00A81C77" w:rsidRDefault="00A81C77" w:rsidP="00A81C77"/>
    <w:p w14:paraId="77FA2D24" w14:textId="7A96F6DC" w:rsidR="00A81C77" w:rsidRDefault="00FB246C" w:rsidP="00A81C77">
      <w:r>
        <w:t xml:space="preserve">2.29 </w:t>
      </w:r>
      <w:r w:rsidR="00A81C77">
        <w:t>The following key risks should be taken into account when agreeing the recommendations in this report:</w:t>
      </w:r>
    </w:p>
    <w:p w14:paraId="773595D7" w14:textId="77777777" w:rsidR="003F0F2E" w:rsidRDefault="003F0F2E" w:rsidP="00A81C77"/>
    <w:tbl>
      <w:tblPr>
        <w:tblW w:w="8635" w:type="dxa"/>
        <w:tblCellMar>
          <w:left w:w="10" w:type="dxa"/>
          <w:right w:w="10" w:type="dxa"/>
        </w:tblCellMar>
        <w:tblLook w:val="04A0" w:firstRow="1" w:lastRow="0" w:firstColumn="1" w:lastColumn="0" w:noHBand="0" w:noVBand="1"/>
      </w:tblPr>
      <w:tblGrid>
        <w:gridCol w:w="3267"/>
        <w:gridCol w:w="3298"/>
        <w:gridCol w:w="2070"/>
      </w:tblGrid>
      <w:tr w:rsidR="00000DDB" w14:paraId="2F20345F" w14:textId="77777777" w:rsidTr="00A311F1">
        <w:trPr>
          <w:trHeight w:val="452"/>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A6F9C3C" w14:textId="77777777" w:rsidR="00000DDB" w:rsidRDefault="00000DDB" w:rsidP="00A311F1">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6C986B5" w14:textId="77777777" w:rsidR="00000DDB" w:rsidRDefault="00000DDB" w:rsidP="00A311F1">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1B095" w14:textId="77777777" w:rsidR="00000DDB" w:rsidRDefault="00000DDB" w:rsidP="00A311F1">
            <w:pPr>
              <w:spacing w:line="247" w:lineRule="auto"/>
              <w:ind w:left="171" w:right="141"/>
              <w:rPr>
                <w:rFonts w:cs="Arial"/>
                <w:b/>
                <w:bCs/>
                <w:szCs w:val="24"/>
                <w:lang w:val="en-US" w:eastAsia="en-GB"/>
              </w:rPr>
            </w:pPr>
            <w:r>
              <w:rPr>
                <w:rFonts w:cs="Arial"/>
                <w:b/>
                <w:bCs/>
                <w:szCs w:val="24"/>
                <w:lang w:val="en-US" w:eastAsia="en-GB"/>
              </w:rPr>
              <w:t>RAG Status</w:t>
            </w:r>
          </w:p>
        </w:tc>
      </w:tr>
      <w:tr w:rsidR="00000DDB" w:rsidRPr="005E158A" w14:paraId="450FC567" w14:textId="77777777" w:rsidTr="00A311F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185FE40" w14:textId="77777777" w:rsidR="00000DDB" w:rsidRPr="00F516B7" w:rsidRDefault="00000DDB" w:rsidP="00A311F1">
            <w:pPr>
              <w:pStyle w:val="CommentText"/>
              <w:rPr>
                <w:sz w:val="24"/>
                <w:szCs w:val="24"/>
              </w:rPr>
            </w:pPr>
            <w:r w:rsidRPr="00F516B7">
              <w:rPr>
                <w:sz w:val="24"/>
                <w:szCs w:val="24"/>
              </w:rPr>
              <w:t>If the proposed recommendation(s) are not agreed, the expansion of electric vehicle charging on public assets in the borough will not proceed, or be delayed, and wider progress on the LBH Climate and Nature Strategy slowed</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7799A5" w14:textId="77777777" w:rsidR="00000DDB" w:rsidRPr="00F516B7" w:rsidRDefault="00000DDB" w:rsidP="00000DDB">
            <w:pPr>
              <w:pStyle w:val="ListParagraph"/>
              <w:numPr>
                <w:ilvl w:val="0"/>
                <w:numId w:val="14"/>
              </w:numPr>
              <w:ind w:left="164" w:hanging="164"/>
            </w:pPr>
            <w:r w:rsidRPr="00F516B7">
              <w:t xml:space="preserve">Agreement to the report’s proposed recommendation(s) will mitigate this risk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34E11DA" w14:textId="77777777" w:rsidR="00000DDB" w:rsidRPr="005E158A" w:rsidRDefault="00000DDB" w:rsidP="00A311F1">
            <w:pPr>
              <w:spacing w:line="247" w:lineRule="auto"/>
              <w:ind w:left="171" w:right="141"/>
              <w:jc w:val="center"/>
              <w:rPr>
                <w:rFonts w:cs="Arial"/>
                <w:b/>
                <w:bCs/>
                <w:szCs w:val="24"/>
                <w:lang w:val="en-US" w:eastAsia="en-GB"/>
              </w:rPr>
            </w:pPr>
            <w:r>
              <w:rPr>
                <w:rFonts w:cs="Arial"/>
                <w:b/>
                <w:bCs/>
                <w:szCs w:val="24"/>
                <w:lang w:val="en-US" w:eastAsia="en-GB"/>
              </w:rPr>
              <w:t xml:space="preserve">GREEN </w:t>
            </w:r>
          </w:p>
        </w:tc>
      </w:tr>
      <w:tr w:rsidR="00000DDB" w:rsidRPr="005E158A" w14:paraId="36B29295" w14:textId="77777777" w:rsidTr="00A311F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14E37A" w14:textId="77777777" w:rsidR="00000DDB" w:rsidRPr="00F94178" w:rsidRDefault="00000DDB" w:rsidP="00A311F1">
            <w:pPr>
              <w:spacing w:line="247" w:lineRule="auto"/>
              <w:ind w:right="141"/>
              <w:rPr>
                <w:rFonts w:cs="Arial"/>
                <w:szCs w:val="24"/>
                <w:lang w:val="en-US" w:eastAsia="en-GB"/>
              </w:rPr>
            </w:pPr>
            <w:r w:rsidRPr="00F94178">
              <w:rPr>
                <w:rFonts w:cs="Arial"/>
                <w:szCs w:val="24"/>
                <w:lang w:val="en-US" w:eastAsia="en-GB"/>
              </w:rPr>
              <w:t>Delay in procurement resulting in loss of grant funding.</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6777BF" w14:textId="77777777" w:rsidR="00000DDB" w:rsidRPr="005E158A" w:rsidRDefault="00000DDB" w:rsidP="00000DDB">
            <w:pPr>
              <w:pStyle w:val="ListParagraph"/>
              <w:numPr>
                <w:ilvl w:val="0"/>
                <w:numId w:val="14"/>
              </w:numPr>
              <w:ind w:left="164" w:hanging="164"/>
            </w:pPr>
            <w:r w:rsidRPr="005E158A">
              <w:t xml:space="preserve">Undertaking a timely procurement in accordance with the council’s Contract Procedure </w:t>
            </w:r>
            <w:r>
              <w:t>R</w:t>
            </w:r>
            <w:r w:rsidRPr="005E158A">
              <w:t xml:space="preserve">ules. </w:t>
            </w:r>
          </w:p>
          <w:p w14:paraId="7969853E" w14:textId="77777777" w:rsidR="00000DDB" w:rsidRPr="00F94178" w:rsidRDefault="00000DDB" w:rsidP="00A311F1">
            <w:pPr>
              <w:pStyle w:val="ListParagraph"/>
              <w:suppressAutoHyphens/>
              <w:autoSpaceDN w:val="0"/>
              <w:spacing w:line="247" w:lineRule="auto"/>
              <w:ind w:left="171" w:right="141"/>
              <w:rPr>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02997D4" w14:textId="77777777" w:rsidR="00000DDB" w:rsidRPr="005E158A" w:rsidRDefault="00000DDB" w:rsidP="00A311F1">
            <w:pPr>
              <w:spacing w:line="247" w:lineRule="auto"/>
              <w:ind w:left="171" w:right="141"/>
              <w:jc w:val="center"/>
              <w:rPr>
                <w:rFonts w:cs="Arial"/>
                <w:b/>
                <w:bCs/>
                <w:szCs w:val="24"/>
                <w:lang w:val="en-US" w:eastAsia="en-GB"/>
              </w:rPr>
            </w:pPr>
            <w:r>
              <w:rPr>
                <w:rFonts w:cs="Arial"/>
                <w:b/>
                <w:bCs/>
                <w:szCs w:val="24"/>
                <w:lang w:val="en-US" w:eastAsia="en-GB"/>
              </w:rPr>
              <w:t xml:space="preserve">GREEN </w:t>
            </w:r>
          </w:p>
        </w:tc>
      </w:tr>
      <w:tr w:rsidR="00000DDB" w:rsidRPr="005E158A" w14:paraId="420641C4" w14:textId="77777777" w:rsidTr="00A311F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AE2D8D" w14:textId="77777777" w:rsidR="00000DDB" w:rsidRPr="00F94178" w:rsidRDefault="00000DDB" w:rsidP="00A311F1">
            <w:pPr>
              <w:spacing w:line="247" w:lineRule="auto"/>
              <w:ind w:right="141"/>
              <w:rPr>
                <w:rFonts w:cs="Arial"/>
                <w:szCs w:val="24"/>
                <w:lang w:val="en-US" w:eastAsia="en-GB"/>
              </w:rPr>
            </w:pPr>
            <w:r w:rsidRPr="00F94178">
              <w:rPr>
                <w:rFonts w:cs="Arial"/>
                <w:szCs w:val="24"/>
                <w:lang w:val="en-US" w:eastAsia="en-GB"/>
              </w:rPr>
              <w:t xml:space="preserve">Delay in procurement resulting in </w:t>
            </w:r>
            <w:r w:rsidRPr="005E158A">
              <w:rPr>
                <w:rFonts w:cs="Arial"/>
                <w:szCs w:val="24"/>
                <w:lang w:val="en-US" w:eastAsia="en-GB"/>
              </w:rPr>
              <w:t xml:space="preserve">additional costs to the allocated budget such as inflation, supply chain bottlenecks and scarcity of suitable materials and/or labour.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1668BD" w14:textId="77777777" w:rsidR="00000DDB" w:rsidRPr="005E158A" w:rsidRDefault="00000DDB" w:rsidP="00000DDB">
            <w:pPr>
              <w:pStyle w:val="ListParagraph"/>
              <w:numPr>
                <w:ilvl w:val="0"/>
                <w:numId w:val="14"/>
              </w:numPr>
              <w:ind w:left="164" w:hanging="164"/>
            </w:pPr>
            <w:r w:rsidRPr="005E158A">
              <w:t xml:space="preserve">Undertaking a timely procurement in accordance with the council’s Contract Procedure </w:t>
            </w:r>
            <w:r>
              <w:t>R</w:t>
            </w:r>
            <w:r w:rsidRPr="005E158A">
              <w:t xml:space="preserve">ules. </w:t>
            </w:r>
          </w:p>
          <w:p w14:paraId="4ABD17DD" w14:textId="77777777" w:rsidR="00000DDB" w:rsidRPr="00F94178" w:rsidRDefault="00000DDB" w:rsidP="00A311F1">
            <w:pPr>
              <w:pStyle w:val="ListParagraph"/>
              <w:suppressAutoHyphens/>
              <w:autoSpaceDN w:val="0"/>
              <w:spacing w:line="247" w:lineRule="auto"/>
              <w:ind w:left="171" w:right="141"/>
              <w:rPr>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3496721" w14:textId="77777777" w:rsidR="00000DDB" w:rsidRPr="005E158A" w:rsidRDefault="00000DDB" w:rsidP="00A311F1">
            <w:pPr>
              <w:spacing w:line="247" w:lineRule="auto"/>
              <w:ind w:right="141"/>
              <w:jc w:val="center"/>
              <w:rPr>
                <w:rFonts w:cs="Arial"/>
                <w:b/>
                <w:bCs/>
                <w:szCs w:val="24"/>
                <w:lang w:val="en-US" w:eastAsia="en-GB"/>
              </w:rPr>
            </w:pPr>
            <w:r>
              <w:rPr>
                <w:rFonts w:cs="Arial"/>
                <w:b/>
                <w:bCs/>
                <w:szCs w:val="24"/>
                <w:lang w:val="en-US" w:eastAsia="en-GB"/>
              </w:rPr>
              <w:t xml:space="preserve">GREEN </w:t>
            </w:r>
          </w:p>
        </w:tc>
      </w:tr>
      <w:tr w:rsidR="00000DDB" w:rsidRPr="005E158A" w14:paraId="48F71972" w14:textId="77777777" w:rsidTr="00A311F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15E1CF" w14:textId="77777777" w:rsidR="00000DDB" w:rsidRPr="00F94178" w:rsidRDefault="00000DDB" w:rsidP="00A311F1">
            <w:pPr>
              <w:spacing w:line="247" w:lineRule="auto"/>
              <w:ind w:right="141"/>
              <w:rPr>
                <w:rFonts w:cs="Arial"/>
                <w:szCs w:val="24"/>
                <w:lang w:val="en-US" w:eastAsia="en-GB"/>
              </w:rPr>
            </w:pPr>
            <w:r w:rsidRPr="00F94178">
              <w:rPr>
                <w:rFonts w:cs="Arial"/>
                <w:szCs w:val="24"/>
                <w:lang w:val="en-US" w:eastAsia="en-GB"/>
              </w:rPr>
              <w:t>Council unable to procure a suitable Charge Point Operator and concession agreement.</w:t>
            </w:r>
          </w:p>
          <w:p w14:paraId="3384815D" w14:textId="77777777" w:rsidR="00000DDB" w:rsidRPr="00F94178" w:rsidRDefault="00000DDB" w:rsidP="00A311F1">
            <w:pPr>
              <w:spacing w:line="247" w:lineRule="auto"/>
              <w:ind w:right="141"/>
              <w:rPr>
                <w:rFonts w:cs="Arial"/>
                <w:szCs w:val="24"/>
                <w:lang w:val="en-US" w:eastAsia="en-GB"/>
              </w:rPr>
            </w:pPr>
          </w:p>
          <w:p w14:paraId="7D63AB57" w14:textId="77777777" w:rsidR="00000DDB" w:rsidRPr="00F94178" w:rsidRDefault="00000DDB" w:rsidP="00A311F1">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B131A6" w14:textId="77777777" w:rsidR="00000DDB" w:rsidRPr="00006792" w:rsidRDefault="00000DDB" w:rsidP="00A311F1">
            <w:pPr>
              <w:suppressAutoHyphens/>
              <w:autoSpaceDN w:val="0"/>
              <w:spacing w:line="247" w:lineRule="auto"/>
              <w:ind w:right="141"/>
              <w:rPr>
                <w:rFonts w:cs="Arial"/>
              </w:rPr>
            </w:pPr>
            <w:r w:rsidRPr="00F94178">
              <w:rPr>
                <w:rFonts w:cs="Arial"/>
              </w:rPr>
              <w:t xml:space="preserve">Making use of </w:t>
            </w:r>
            <w:r>
              <w:rPr>
                <w:rFonts w:cs="Arial"/>
              </w:rPr>
              <w:t>the Oxford City Council DPS</w:t>
            </w:r>
            <w:r w:rsidRPr="00F94178">
              <w:rPr>
                <w:rFonts w:cs="Arial"/>
              </w:rPr>
              <w:t xml:space="preserve"> as </w:t>
            </w:r>
            <w:r>
              <w:rPr>
                <w:rFonts w:cs="Arial"/>
              </w:rPr>
              <w:t xml:space="preserve">pre-qualified </w:t>
            </w:r>
            <w:r w:rsidRPr="00F94178">
              <w:rPr>
                <w:rFonts w:cs="Arial"/>
              </w:rPr>
              <w:t>providers</w:t>
            </w:r>
            <w:r>
              <w:rPr>
                <w:rFonts w:cs="Arial"/>
              </w:rPr>
              <w:t xml:space="preserve"> complaint with ORCS and OZEV standards</w:t>
            </w:r>
            <w:r w:rsidRPr="00F94178">
              <w:rPr>
                <w:rFonts w:cs="Arial"/>
              </w:rPr>
              <w:t xml:space="preserve"> have </w:t>
            </w:r>
            <w:r>
              <w:rPr>
                <w:rFonts w:cs="Arial"/>
              </w:rPr>
              <w:t>been appointed to the DPS and the DPS contains a concession call-off contract template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FCA8FAF" w14:textId="77777777" w:rsidR="00000DDB" w:rsidRPr="005E158A" w:rsidRDefault="00000DDB" w:rsidP="00A311F1">
            <w:pPr>
              <w:spacing w:line="247" w:lineRule="auto"/>
              <w:ind w:right="141"/>
              <w:jc w:val="center"/>
              <w:rPr>
                <w:rFonts w:cs="Arial"/>
                <w:b/>
                <w:bCs/>
                <w:szCs w:val="24"/>
                <w:lang w:val="en-US" w:eastAsia="en-GB"/>
              </w:rPr>
            </w:pPr>
            <w:r>
              <w:rPr>
                <w:rFonts w:cs="Arial"/>
                <w:b/>
                <w:bCs/>
                <w:szCs w:val="24"/>
                <w:lang w:val="en-US" w:eastAsia="en-GB"/>
              </w:rPr>
              <w:t xml:space="preserve">GREEN </w:t>
            </w:r>
          </w:p>
        </w:tc>
      </w:tr>
    </w:tbl>
    <w:bookmarkEnd w:id="0"/>
    <w:bookmarkEnd w:id="1"/>
    <w:bookmarkEnd w:id="2"/>
    <w:p w14:paraId="6D0FB37D" w14:textId="573CF594" w:rsidR="007231DB" w:rsidRDefault="00A81C77" w:rsidP="007231DB">
      <w:pPr>
        <w:pStyle w:val="Heading3"/>
        <w:spacing w:before="480" w:after="240"/>
      </w:pPr>
      <w:r>
        <w:t>Procurement Implications</w:t>
      </w:r>
    </w:p>
    <w:p w14:paraId="62E1BC37" w14:textId="5234DADE" w:rsidR="00A3286C" w:rsidRDefault="00FB246C" w:rsidP="00236324">
      <w:r>
        <w:t xml:space="preserve">2.30 </w:t>
      </w:r>
      <w:r w:rsidR="00236324">
        <w:t>T</w:t>
      </w:r>
      <w:r w:rsidR="00BB7481">
        <w:t xml:space="preserve">his report seeks </w:t>
      </w:r>
      <w:r w:rsidR="00FD2728">
        <w:t xml:space="preserve">delegated authority to </w:t>
      </w:r>
      <w:r w:rsidR="00DA4C67">
        <w:t>procure</w:t>
      </w:r>
      <w:r w:rsidR="00182660">
        <w:t xml:space="preserve"> and award </w:t>
      </w:r>
      <w:r w:rsidR="000F3C1F">
        <w:t>an</w:t>
      </w:r>
      <w:r w:rsidR="00FD2728">
        <w:t xml:space="preserve"> </w:t>
      </w:r>
      <w:r w:rsidR="0088350A">
        <w:t>Electric</w:t>
      </w:r>
      <w:r w:rsidR="004A15AE">
        <w:t xml:space="preserve"> Vehicle </w:t>
      </w:r>
      <w:r w:rsidR="00286097">
        <w:t xml:space="preserve">Charging </w:t>
      </w:r>
      <w:r w:rsidR="006D1DE6">
        <w:t>points</w:t>
      </w:r>
      <w:r w:rsidR="000F3C1F">
        <w:t xml:space="preserve"> </w:t>
      </w:r>
      <w:r w:rsidR="00BC0FFB">
        <w:t xml:space="preserve">concessionary </w:t>
      </w:r>
      <w:r w:rsidR="000F3C1F">
        <w:t xml:space="preserve">contract </w:t>
      </w:r>
      <w:r w:rsidR="001D73F7">
        <w:t xml:space="preserve">by </w:t>
      </w:r>
      <w:r w:rsidR="00AB27BA">
        <w:t>P</w:t>
      </w:r>
      <w:r w:rsidR="00911270">
        <w:t xml:space="preserve">ublic </w:t>
      </w:r>
      <w:r w:rsidR="00AB27BA">
        <w:t>C</w:t>
      </w:r>
      <w:r w:rsidR="00911270">
        <w:t xml:space="preserve">ontract </w:t>
      </w:r>
      <w:r w:rsidR="00AB27BA">
        <w:t>R</w:t>
      </w:r>
      <w:r w:rsidR="00911270">
        <w:t>egulation</w:t>
      </w:r>
      <w:r w:rsidR="00AB27BA">
        <w:t xml:space="preserve"> </w:t>
      </w:r>
      <w:r w:rsidR="001D73F7">
        <w:t xml:space="preserve">compliant means of </w:t>
      </w:r>
      <w:r w:rsidR="00AB27BA">
        <w:t>Cal</w:t>
      </w:r>
      <w:r w:rsidR="00236324">
        <w:t xml:space="preserve">l for Competition under Lot 1 of the </w:t>
      </w:r>
      <w:r w:rsidR="00236324" w:rsidRPr="00D06911">
        <w:t xml:space="preserve">EV </w:t>
      </w:r>
      <w:r w:rsidR="00236324" w:rsidRPr="00241E85">
        <w:t>Charging Infrastructure Dynamic Purchasing System DN519227 created by Oxford City Council (“the EVI DPS”)</w:t>
      </w:r>
      <w:r w:rsidR="00553B39">
        <w:t xml:space="preserve">. </w:t>
      </w:r>
    </w:p>
    <w:p w14:paraId="4E22A91C" w14:textId="05825849" w:rsidR="00F535F6" w:rsidRDefault="00F535F6" w:rsidP="00236324"/>
    <w:p w14:paraId="7D618483" w14:textId="4C989947" w:rsidR="00F535F6" w:rsidRDefault="00FB246C" w:rsidP="00236324">
      <w:r>
        <w:t xml:space="preserve">2.31 </w:t>
      </w:r>
      <w:r w:rsidR="00F535F6" w:rsidRPr="00F535F6">
        <w:t>The EVI DPS comprises a group of EV charging equipment/infrastructure Suppliers and EVI service providers, some of which (under Lots 1 and 2) can deliver EVI requirements under a Concession Contract. The EVI DPS is available for use by all UK Public Sector Bodies</w:t>
      </w:r>
      <w:r w:rsidR="0054084B">
        <w:t>.</w:t>
      </w:r>
    </w:p>
    <w:p w14:paraId="4B8CBE77" w14:textId="250C6861" w:rsidR="00A3286C" w:rsidRDefault="00A3286C" w:rsidP="00236324"/>
    <w:p w14:paraId="5A95202D" w14:textId="42C84D13" w:rsidR="00236324" w:rsidRDefault="00FB246C" w:rsidP="00236324">
      <w:r>
        <w:t xml:space="preserve">2.32 </w:t>
      </w:r>
      <w:r w:rsidR="00BD48F7">
        <w:t>V</w:t>
      </w:r>
      <w:r w:rsidR="00236324" w:rsidRPr="00241E85">
        <w:t>alue of the</w:t>
      </w:r>
      <w:r w:rsidR="00D552C6">
        <w:t xml:space="preserve"> contract </w:t>
      </w:r>
      <w:r w:rsidR="00236324" w:rsidRPr="00241E85">
        <w:t xml:space="preserve">is below </w:t>
      </w:r>
      <w:r w:rsidR="00842464">
        <w:t>Concession Contracts Regulations 2016</w:t>
      </w:r>
      <w:r w:rsidR="008D664F">
        <w:t xml:space="preserve"> </w:t>
      </w:r>
      <w:r w:rsidR="00236324" w:rsidRPr="00241E85">
        <w:t>financial thresholds for concessions</w:t>
      </w:r>
      <w:r w:rsidR="00823EF8">
        <w:t>.</w:t>
      </w:r>
    </w:p>
    <w:p w14:paraId="536F7AE4" w14:textId="0B0BE8B6" w:rsidR="00DA4937" w:rsidRDefault="00DA4937" w:rsidP="00236324"/>
    <w:p w14:paraId="07D828D9" w14:textId="056F8E4C" w:rsidR="00DA4937" w:rsidRDefault="00FB246C" w:rsidP="00236324">
      <w:r>
        <w:t xml:space="preserve">2.33 </w:t>
      </w:r>
      <w:r w:rsidR="00DA4937">
        <w:t>Use of the proposed procurement approach is compliant with the Councils Contract Procedure Rules.</w:t>
      </w:r>
    </w:p>
    <w:p w14:paraId="02906845" w14:textId="45CF9054" w:rsidR="00520395" w:rsidRDefault="00520395" w:rsidP="00236324"/>
    <w:p w14:paraId="08FE9555" w14:textId="0D2E16B1" w:rsidR="007845FE" w:rsidRDefault="00FB246C" w:rsidP="007845FE">
      <w:r>
        <w:t xml:space="preserve">2.34 </w:t>
      </w:r>
      <w:r w:rsidR="007845FE" w:rsidRPr="00175C40">
        <w:t xml:space="preserve">Bidders will be required to provide technical and commercial submissions, with all Tenders being evaluated for both their technical and commercial suitability in relation to the </w:t>
      </w:r>
      <w:r w:rsidR="007845FE">
        <w:t>Councils</w:t>
      </w:r>
      <w:r w:rsidR="007845FE" w:rsidRPr="00175C40">
        <w:t xml:space="preserve"> </w:t>
      </w:r>
      <w:r w:rsidR="007845FE">
        <w:t>r</w:t>
      </w:r>
      <w:r w:rsidR="007845FE" w:rsidRPr="00175C40">
        <w:t>equirements.</w:t>
      </w:r>
    </w:p>
    <w:p w14:paraId="1DDDE1A6" w14:textId="25DA06FF" w:rsidR="007231DB" w:rsidRPr="005E158A" w:rsidRDefault="007231DB" w:rsidP="00F516B7">
      <w:pPr>
        <w:pStyle w:val="BodyText"/>
        <w:spacing w:before="17"/>
        <w:ind w:right="582"/>
        <w:rPr>
          <w:i w:val="0"/>
          <w:iCs w:val="0"/>
          <w:color w:val="4472C4" w:themeColor="accent1"/>
        </w:rPr>
      </w:pPr>
    </w:p>
    <w:p w14:paraId="1E2737B1" w14:textId="19A38774" w:rsidR="007231DB" w:rsidRPr="00F516B7" w:rsidRDefault="00FB246C" w:rsidP="005E158A">
      <w:pPr>
        <w:rPr>
          <w:i/>
          <w:iCs/>
        </w:rPr>
      </w:pPr>
      <w:r>
        <w:t xml:space="preserve">2.35 </w:t>
      </w:r>
      <w:r w:rsidR="007231DB" w:rsidRPr="00F516B7">
        <w:t xml:space="preserve">The Invitation to Tender will set out the high-level evaluation criteria with a price weighting of </w:t>
      </w:r>
      <w:r w:rsidR="00856F20" w:rsidRPr="00F516B7">
        <w:t>55</w:t>
      </w:r>
      <w:r w:rsidR="007231DB" w:rsidRPr="00F516B7">
        <w:t xml:space="preserve">% quality rating of </w:t>
      </w:r>
      <w:r w:rsidR="001F646A" w:rsidRPr="00F516B7">
        <w:t>45%.</w:t>
      </w:r>
    </w:p>
    <w:p w14:paraId="6B052F77" w14:textId="79BDE18B" w:rsidR="00A81C77" w:rsidRDefault="00A81C77" w:rsidP="006F0438">
      <w:pPr>
        <w:pStyle w:val="Heading3"/>
        <w:spacing w:before="480" w:after="240"/>
      </w:pPr>
      <w:r>
        <w:t>Legal Implications</w:t>
      </w:r>
    </w:p>
    <w:p w14:paraId="672BA12B" w14:textId="48208883" w:rsidR="00A356C7" w:rsidRDefault="00FB246C" w:rsidP="00AD7C3C">
      <w:pPr>
        <w:pStyle w:val="Sub2Textlist"/>
        <w:ind w:left="0" w:firstLine="0"/>
        <w:jc w:val="both"/>
      </w:pPr>
      <w:r>
        <w:t xml:space="preserve">2.36 </w:t>
      </w:r>
      <w:r w:rsidR="00A356C7">
        <w:t>The Traffic Management Act 2004 places obligations on highway authorities to ensure the expeditious movement of traffic on their road network. Authorities are required to make arrangements as they consider appropriate for planning and carrying out the action to be taken in performing the duty.</w:t>
      </w:r>
    </w:p>
    <w:p w14:paraId="23E22C01" w14:textId="6301CC53" w:rsidR="00A356C7" w:rsidRDefault="00FB246C" w:rsidP="00AD7C3C">
      <w:pPr>
        <w:pStyle w:val="Sub2Textlist"/>
        <w:ind w:left="0" w:firstLine="0"/>
        <w:jc w:val="both"/>
      </w:pPr>
      <w:r>
        <w:t xml:space="preserve">2.37 </w:t>
      </w:r>
      <w:r w:rsidR="00A356C7">
        <w:t>Under section 16 of the London Local Authorities and Transport for London Act 2013 (LLATLA 2013), the Council has the power to provide and operate, or grant permission to a person to provide and operate, charging apparatus for electric vehicles.</w:t>
      </w:r>
    </w:p>
    <w:p w14:paraId="7A9EAF5C" w14:textId="48620DD0" w:rsidR="006B7C25" w:rsidRDefault="00FB246C" w:rsidP="005E158A">
      <w:r>
        <w:t xml:space="preserve">2.38 </w:t>
      </w:r>
      <w:r w:rsidR="00C25425">
        <w:t xml:space="preserve">The Council must comply with </w:t>
      </w:r>
      <w:r w:rsidR="00C25425" w:rsidRPr="00882FD2">
        <w:t>its Constitution and Contract Procedure Rules (CPRs).</w:t>
      </w:r>
      <w:r w:rsidR="00C25425">
        <w:t xml:space="preserve"> Procurements</w:t>
      </w:r>
      <w:r w:rsidR="00FB2DC8">
        <w:t xml:space="preserve"> by means of a concession contract,</w:t>
      </w:r>
      <w:r w:rsidR="00C25425">
        <w:t xml:space="preserve"> greater or equal to the financial threshold (currently £</w:t>
      </w:r>
      <w:r w:rsidR="00911270">
        <w:t>5,336,937</w:t>
      </w:r>
      <w:r w:rsidR="00C25425">
        <w:t xml:space="preserve"> incl VAT for </w:t>
      </w:r>
      <w:r w:rsidR="00911270">
        <w:t>works</w:t>
      </w:r>
      <w:r w:rsidR="00C25425">
        <w:t xml:space="preserve"> and service contracts) must also comply with the </w:t>
      </w:r>
      <w:r w:rsidR="00911270">
        <w:t xml:space="preserve">Concession </w:t>
      </w:r>
      <w:r w:rsidR="00C25425">
        <w:t>Contracts Regulations 201</w:t>
      </w:r>
      <w:r w:rsidR="00911270">
        <w:t>6</w:t>
      </w:r>
      <w:r w:rsidR="00C25425">
        <w:t xml:space="preserve"> (</w:t>
      </w:r>
      <w:r w:rsidR="00911270">
        <w:t>C</w:t>
      </w:r>
      <w:r w:rsidR="00C25425">
        <w:t>CR). This procurement is</w:t>
      </w:r>
      <w:r w:rsidR="00911270">
        <w:t xml:space="preserve"> below threshold and</w:t>
      </w:r>
      <w:r w:rsidR="00C25425">
        <w:t xml:space="preserve"> therefore </w:t>
      </w:r>
      <w:r w:rsidR="00911270">
        <w:t xml:space="preserve">not </w:t>
      </w:r>
      <w:r w:rsidR="00C25425">
        <w:t xml:space="preserve">caught by the </w:t>
      </w:r>
      <w:r w:rsidR="00911270">
        <w:t>C</w:t>
      </w:r>
      <w:r w:rsidR="00C25425">
        <w:t>CR.</w:t>
      </w:r>
    </w:p>
    <w:p w14:paraId="669AEE8C" w14:textId="77777777" w:rsidR="006B7C25" w:rsidRDefault="006B7C25" w:rsidP="005E158A"/>
    <w:p w14:paraId="0B85B893" w14:textId="7567C065" w:rsidR="004F726D" w:rsidRDefault="00FB246C" w:rsidP="005E158A">
      <w:r>
        <w:t xml:space="preserve">2.39 </w:t>
      </w:r>
      <w:r w:rsidR="00C25425">
        <w:t xml:space="preserve">The Council is proposing to procure </w:t>
      </w:r>
      <w:r w:rsidR="00FB2DC8">
        <w:t xml:space="preserve">a concession arrangement for the provision of </w:t>
      </w:r>
      <w:r w:rsidR="00C25425">
        <w:t>the lamp column</w:t>
      </w:r>
      <w:r w:rsidR="00441D2D">
        <w:t xml:space="preserve"> charge points </w:t>
      </w:r>
      <w:r w:rsidR="00FB2DC8">
        <w:t xml:space="preserve">and propose to procure the charge points </w:t>
      </w:r>
      <w:r w:rsidR="00C25425">
        <w:t>under a Dynamic Purc</w:t>
      </w:r>
      <w:r w:rsidR="00FC3F63">
        <w:t>hasing System (DPS)</w:t>
      </w:r>
      <w:r w:rsidR="00C25425">
        <w:t xml:space="preserve">, set up by Oxford City Council. </w:t>
      </w:r>
      <w:r w:rsidR="00FC3F63">
        <w:t xml:space="preserve">The Council intends to conduct a call for competition under lot 1 of the DPS: </w:t>
      </w:r>
      <w:r w:rsidR="00FC3F63" w:rsidRPr="00F516B7">
        <w:rPr>
          <w:i/>
          <w:iCs/>
        </w:rPr>
        <w:t>End to end services Turnkey solutions</w:t>
      </w:r>
      <w:r w:rsidR="00FC3F63">
        <w:t>. This will involve</w:t>
      </w:r>
      <w:r w:rsidR="004F726D">
        <w:t xml:space="preserve"> submitting a</w:t>
      </w:r>
      <w:r w:rsidR="00441D2D">
        <w:t xml:space="preserve">n invitation to tender </w:t>
      </w:r>
      <w:r w:rsidR="004F726D">
        <w:t>setting out the Council’s specific requirements and any accompanying documentation, and all suppliers on that lot are invited to submit a bid. Once the bids are evaluated and the call-off contract is awarded, the Council will need to inform Oxford City Council of the award by completing the confirmation of award document</w:t>
      </w:r>
      <w:r w:rsidR="00B81D33">
        <w:t>.</w:t>
      </w:r>
    </w:p>
    <w:p w14:paraId="6D1AF89E" w14:textId="77777777" w:rsidR="004F726D" w:rsidRDefault="004F726D" w:rsidP="005E158A"/>
    <w:p w14:paraId="5A05C983" w14:textId="0E261E48" w:rsidR="00C25425" w:rsidRDefault="00FB246C" w:rsidP="005E158A">
      <w:r>
        <w:t xml:space="preserve">2.40 </w:t>
      </w:r>
      <w:r w:rsidR="00C25425">
        <w:t xml:space="preserve">The Council’s legal team (HBPL) is satisfied </w:t>
      </w:r>
      <w:r w:rsidR="00FC3F63">
        <w:t xml:space="preserve">that </w:t>
      </w:r>
      <w:r w:rsidR="00FB2DC8">
        <w:t xml:space="preserve">the DPS is suitable for the provision of the proposed concession arrangement. HBPL is also satisfied that </w:t>
      </w:r>
      <w:r w:rsidR="00FC3F63">
        <w:t xml:space="preserve">the Council </w:t>
      </w:r>
      <w:r w:rsidR="004F726D">
        <w:t>can lawfully access the DPS as it is open to all UK public sector bodies including local authorities and the Council has signed the relevant Access Agreement enabling the Council to use the DPS, providing that the Council complies with the rules of the DPS.</w:t>
      </w:r>
      <w:r w:rsidR="00FC3F63">
        <w:t xml:space="preserve"> </w:t>
      </w:r>
      <w:r w:rsidR="004F726D">
        <w:t>The DPS currently expires on 30</w:t>
      </w:r>
      <w:r w:rsidR="004F726D" w:rsidRPr="00441D2D">
        <w:rPr>
          <w:vertAlign w:val="superscript"/>
        </w:rPr>
        <w:t>th</w:t>
      </w:r>
      <w:r w:rsidR="004F726D">
        <w:t xml:space="preserve"> August 2025 (subject to extension or re-procurement)</w:t>
      </w:r>
      <w:r w:rsidR="00B81D33">
        <w:t>.</w:t>
      </w:r>
      <w:r w:rsidR="004F726D">
        <w:t xml:space="preserve"> </w:t>
      </w:r>
    </w:p>
    <w:p w14:paraId="40253800" w14:textId="141807B9" w:rsidR="00C25425" w:rsidRDefault="00C25425" w:rsidP="005E158A"/>
    <w:p w14:paraId="15A8CFFC" w14:textId="4E4FF075" w:rsidR="004E64D9" w:rsidRPr="004E64D9" w:rsidRDefault="00FB246C" w:rsidP="004E64D9">
      <w:pPr>
        <w:jc w:val="both"/>
        <w:rPr>
          <w:rFonts w:cs="Arial"/>
        </w:rPr>
      </w:pPr>
      <w:r>
        <w:t xml:space="preserve">2.41 </w:t>
      </w:r>
      <w:r w:rsidR="00C25425">
        <w:t>As the estimate</w:t>
      </w:r>
      <w:r w:rsidR="00B81D33">
        <w:t>d</w:t>
      </w:r>
      <w:r w:rsidR="00C25425">
        <w:t xml:space="preserve"> value of the procurement </w:t>
      </w:r>
      <w:r w:rsidR="00441D2D">
        <w:t xml:space="preserve">meets or </w:t>
      </w:r>
      <w:r w:rsidR="00C25425">
        <w:t xml:space="preserve">exceeds £500,000, approval to procure must be obtained </w:t>
      </w:r>
      <w:r w:rsidR="00C25425" w:rsidRPr="00175C40">
        <w:rPr>
          <w:rFonts w:cs="Arial"/>
        </w:rPr>
        <w:t>by way of a Cabinet Report</w:t>
      </w:r>
      <w:r w:rsidR="00441D2D">
        <w:rPr>
          <w:rFonts w:cs="Arial"/>
        </w:rPr>
        <w:t xml:space="preserve"> and a Cabinet decision</w:t>
      </w:r>
      <w:r w:rsidR="00B81D33">
        <w:rPr>
          <w:rFonts w:cs="Arial"/>
        </w:rPr>
        <w:t xml:space="preserve"> must be obtained</w:t>
      </w:r>
      <w:r w:rsidR="00441D2D">
        <w:rPr>
          <w:rFonts w:cs="Arial"/>
        </w:rPr>
        <w:t xml:space="preserve"> prior to any tender activity commencing,</w:t>
      </w:r>
      <w:r w:rsidR="00C25425" w:rsidRPr="00175C40">
        <w:rPr>
          <w:rFonts w:cs="Arial"/>
        </w:rPr>
        <w:t xml:space="preserve"> as required under the Council’s </w:t>
      </w:r>
      <w:r w:rsidR="00C25425">
        <w:rPr>
          <w:rFonts w:cs="Arial"/>
        </w:rPr>
        <w:t>CPRs (</w:t>
      </w:r>
      <w:r w:rsidR="00C25425" w:rsidRPr="00175C40">
        <w:rPr>
          <w:rFonts w:cs="Arial"/>
          <w:i/>
          <w:iCs/>
        </w:rPr>
        <w:t>Table 1 Authorisation and Acceptance Thresholds</w:t>
      </w:r>
      <w:r w:rsidR="00C25425">
        <w:rPr>
          <w:rFonts w:cs="Arial"/>
          <w:i/>
          <w:iCs/>
        </w:rPr>
        <w:t>)</w:t>
      </w:r>
      <w:r w:rsidR="00C25425" w:rsidRPr="00175C40">
        <w:rPr>
          <w:rFonts w:cs="Arial"/>
          <w:i/>
          <w:iCs/>
        </w:rPr>
        <w:t>.</w:t>
      </w:r>
      <w:r w:rsidR="00441D2D">
        <w:rPr>
          <w:rFonts w:cs="Arial"/>
          <w:i/>
          <w:iCs/>
        </w:rPr>
        <w:t xml:space="preserve"> </w:t>
      </w:r>
      <w:r w:rsidR="00441D2D" w:rsidRPr="00441D2D">
        <w:rPr>
          <w:rFonts w:cs="Arial"/>
        </w:rPr>
        <w:t xml:space="preserve">Under section 14 of the CPRs, </w:t>
      </w:r>
      <w:r w:rsidR="004D6715">
        <w:rPr>
          <w:rFonts w:cs="Arial"/>
        </w:rPr>
        <w:t>t</w:t>
      </w:r>
      <w:r w:rsidR="00441D2D" w:rsidRPr="00441D2D">
        <w:rPr>
          <w:rFonts w:cs="Arial"/>
        </w:rPr>
        <w:t>he Portfolio Holder with responsibility for Finance and Human Resources must be consulted at the pre procurement planning stage</w:t>
      </w:r>
      <w:r w:rsidR="00441D2D">
        <w:rPr>
          <w:rFonts w:cs="Arial"/>
        </w:rPr>
        <w:t xml:space="preserve"> and the </w:t>
      </w:r>
      <w:r w:rsidR="00441D2D" w:rsidRPr="00441D2D">
        <w:rPr>
          <w:rFonts w:cs="Arial"/>
        </w:rPr>
        <w:t>Directorate Portfolio Holder must be consulted throughout the commissioning planning and procurement phase of the project</w:t>
      </w:r>
      <w:r w:rsidR="00441D2D">
        <w:rPr>
          <w:rFonts w:cs="Arial"/>
        </w:rPr>
        <w:t>.</w:t>
      </w:r>
      <w:r w:rsidR="004E64D9">
        <w:rPr>
          <w:rFonts w:cs="Arial"/>
        </w:rPr>
        <w:t xml:space="preserve"> Under paragraph 14.1 of the CPRs, all </w:t>
      </w:r>
      <w:r w:rsidR="004E64D9" w:rsidRPr="004E64D9">
        <w:rPr>
          <w:rFonts w:cs="Arial"/>
        </w:rPr>
        <w:t>Cabinet reports seeking approval to commence a procurement for the acquisition of Works, Goods or Services must be accompanied by the tender documents and a recommendation seeking approval of the tender documents</w:t>
      </w:r>
      <w:r w:rsidR="004E64D9">
        <w:rPr>
          <w:rFonts w:cs="Arial"/>
        </w:rPr>
        <w:t xml:space="preserve"> and under paragraph 14.2, t</w:t>
      </w:r>
      <w:r w:rsidR="004E64D9" w:rsidRPr="004E64D9">
        <w:rPr>
          <w:rFonts w:cs="Arial"/>
        </w:rPr>
        <w:t xml:space="preserve">he development of the tender documents prior to seeking approval by Cabinet must be </w:t>
      </w:r>
    </w:p>
    <w:p w14:paraId="59136FB4" w14:textId="77777777" w:rsidR="004E64D9" w:rsidRDefault="004E64D9" w:rsidP="004E64D9">
      <w:pPr>
        <w:jc w:val="both"/>
        <w:rPr>
          <w:rFonts w:cs="Arial"/>
        </w:rPr>
      </w:pPr>
      <w:r w:rsidRPr="004E64D9">
        <w:rPr>
          <w:rFonts w:cs="Arial"/>
        </w:rPr>
        <w:t>done in close engagement and consultation with the portfolio holder for the service and any other portfolio holder that is considered to have an interest in the outcome of the tendering exercise.</w:t>
      </w:r>
      <w:r w:rsidRPr="004E64D9">
        <w:rPr>
          <w:rFonts w:cs="Arial"/>
        </w:rPr>
        <w:cr/>
      </w:r>
    </w:p>
    <w:p w14:paraId="605AD4EB" w14:textId="22D3D83F" w:rsidR="00C25425" w:rsidRDefault="00FB246C" w:rsidP="004E64D9">
      <w:pPr>
        <w:rPr>
          <w:rFonts w:cs="Arial"/>
        </w:rPr>
      </w:pPr>
      <w:r>
        <w:rPr>
          <w:rFonts w:cs="Arial"/>
        </w:rPr>
        <w:t xml:space="preserve">2.42 </w:t>
      </w:r>
      <w:r w:rsidR="004E64D9">
        <w:rPr>
          <w:rFonts w:cs="Arial"/>
        </w:rPr>
        <w:t xml:space="preserve">In line with paragraph 6.1 of the CPRs, all procurement over £100,000 requires the engagement of the Corporate Procurement Team and HB Public Law. HBPL will continue to support with this project. </w:t>
      </w:r>
    </w:p>
    <w:p w14:paraId="6F138080" w14:textId="079BD17B" w:rsidR="00FD67CF" w:rsidRDefault="00A81C77" w:rsidP="005E158A">
      <w:pPr>
        <w:pStyle w:val="Heading3"/>
        <w:spacing w:before="480" w:after="240"/>
      </w:pPr>
      <w:r>
        <w:t>Financial Implications</w:t>
      </w:r>
    </w:p>
    <w:p w14:paraId="40905591" w14:textId="59469A0B" w:rsidR="0072595A" w:rsidRPr="00F516B7" w:rsidRDefault="00FB246C" w:rsidP="00FD67CF">
      <w:r>
        <w:t xml:space="preserve">2.43 </w:t>
      </w:r>
      <w:r w:rsidR="003E46FC" w:rsidRPr="00F516B7">
        <w:t xml:space="preserve">The Council has successfully secured funding </w:t>
      </w:r>
      <w:r w:rsidR="00E05836" w:rsidRPr="00F516B7">
        <w:t>of £5</w:t>
      </w:r>
      <w:r w:rsidR="002340FA" w:rsidRPr="00F516B7">
        <w:t xml:space="preserve">20,840 </w:t>
      </w:r>
      <w:r w:rsidR="003E46FC" w:rsidRPr="00F516B7">
        <w:t xml:space="preserve">from Office for Zero Emission Vehicles </w:t>
      </w:r>
      <w:r w:rsidR="00D76031" w:rsidRPr="00F516B7">
        <w:t>(O</w:t>
      </w:r>
      <w:r w:rsidR="00C92872" w:rsidRPr="00F516B7">
        <w:t xml:space="preserve">ZEV) </w:t>
      </w:r>
      <w:r w:rsidR="002340FA" w:rsidRPr="00F516B7">
        <w:t xml:space="preserve">as part of Tranches 2 and 3 funding rounds. </w:t>
      </w:r>
      <w:r w:rsidR="00D61794" w:rsidRPr="00F516B7">
        <w:t xml:space="preserve">The grant conditions require supplier(s) of the EV charging points to provide a match funding of </w:t>
      </w:r>
      <w:r w:rsidR="008A5429" w:rsidRPr="00F516B7">
        <w:t>25% and 40% respectively</w:t>
      </w:r>
      <w:r w:rsidR="00D61794" w:rsidRPr="00F516B7">
        <w:t>.</w:t>
      </w:r>
      <w:r w:rsidR="008A5429" w:rsidRPr="00F516B7">
        <w:t xml:space="preserve"> These are summarised </w:t>
      </w:r>
      <w:r w:rsidR="00937692" w:rsidRPr="00F516B7">
        <w:t xml:space="preserve">in the table below. </w:t>
      </w:r>
      <w:r w:rsidR="00D61794" w:rsidRPr="00F516B7">
        <w:t xml:space="preserve"> </w:t>
      </w:r>
    </w:p>
    <w:p w14:paraId="2DA36DDD" w14:textId="77777777" w:rsidR="00594EE3" w:rsidRPr="00F516B7" w:rsidRDefault="00594EE3" w:rsidP="00FD67CF"/>
    <w:tbl>
      <w:tblPr>
        <w:tblW w:w="5840" w:type="dxa"/>
        <w:tblLook w:val="04A0" w:firstRow="1" w:lastRow="0" w:firstColumn="1" w:lastColumn="0" w:noHBand="0" w:noVBand="1"/>
      </w:tblPr>
      <w:tblGrid>
        <w:gridCol w:w="1137"/>
        <w:gridCol w:w="1400"/>
        <w:gridCol w:w="1880"/>
        <w:gridCol w:w="1500"/>
      </w:tblGrid>
      <w:tr w:rsidR="00F516B7" w:rsidRPr="00F516B7" w14:paraId="4F93CC44" w14:textId="77777777" w:rsidTr="00406488">
        <w:trPr>
          <w:trHeight w:val="93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C9CC" w14:textId="77777777" w:rsidR="00406488" w:rsidRPr="00F516B7" w:rsidRDefault="00406488" w:rsidP="00406488">
            <w:pPr>
              <w:rPr>
                <w:rFonts w:cs="Arial"/>
                <w:b/>
                <w:bCs/>
                <w:szCs w:val="24"/>
                <w:lang w:eastAsia="en-GB"/>
              </w:rPr>
            </w:pPr>
            <w:r w:rsidRPr="00F516B7">
              <w:rPr>
                <w:rFonts w:cs="Arial"/>
                <w:b/>
                <w:bCs/>
                <w:szCs w:val="24"/>
                <w:lang w:eastAsia="en-GB"/>
              </w:rPr>
              <w:t>Scheme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60C9238" w14:textId="77777777" w:rsidR="00406488" w:rsidRPr="00F516B7" w:rsidRDefault="00406488" w:rsidP="00406488">
            <w:pPr>
              <w:jc w:val="center"/>
              <w:rPr>
                <w:rFonts w:cs="Arial"/>
                <w:b/>
                <w:bCs/>
                <w:szCs w:val="24"/>
                <w:lang w:eastAsia="en-GB"/>
              </w:rPr>
            </w:pPr>
            <w:r w:rsidRPr="00F516B7">
              <w:rPr>
                <w:rFonts w:cs="Arial"/>
                <w:b/>
                <w:bCs/>
                <w:szCs w:val="24"/>
                <w:lang w:eastAsia="en-GB"/>
              </w:rPr>
              <w:t>Grant Funding</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B52329B" w14:textId="77777777" w:rsidR="00406488" w:rsidRPr="00F516B7" w:rsidRDefault="00406488" w:rsidP="00406488">
            <w:pPr>
              <w:jc w:val="center"/>
              <w:rPr>
                <w:rFonts w:cs="Arial"/>
                <w:b/>
                <w:bCs/>
                <w:szCs w:val="24"/>
                <w:lang w:eastAsia="en-GB"/>
              </w:rPr>
            </w:pPr>
            <w:r w:rsidRPr="00F516B7">
              <w:rPr>
                <w:rFonts w:cs="Arial"/>
                <w:b/>
                <w:bCs/>
                <w:szCs w:val="24"/>
                <w:lang w:eastAsia="en-GB"/>
              </w:rPr>
              <w:t>Match fund requirement by Supplier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B6C29FF" w14:textId="77777777" w:rsidR="00406488" w:rsidRPr="00F516B7" w:rsidRDefault="00406488" w:rsidP="00406488">
            <w:pPr>
              <w:jc w:val="center"/>
              <w:rPr>
                <w:rFonts w:cs="Arial"/>
                <w:b/>
                <w:bCs/>
                <w:szCs w:val="24"/>
                <w:lang w:eastAsia="en-GB"/>
              </w:rPr>
            </w:pPr>
            <w:r w:rsidRPr="00F516B7">
              <w:rPr>
                <w:rFonts w:cs="Arial"/>
                <w:b/>
                <w:bCs/>
                <w:szCs w:val="24"/>
                <w:lang w:eastAsia="en-GB"/>
              </w:rPr>
              <w:t>Match fund by supplier</w:t>
            </w:r>
          </w:p>
        </w:tc>
      </w:tr>
      <w:tr w:rsidR="00F516B7" w:rsidRPr="00F516B7" w14:paraId="671A7A72" w14:textId="77777777" w:rsidTr="00406488">
        <w:trPr>
          <w:trHeight w:val="31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410221E" w14:textId="77777777" w:rsidR="00406488" w:rsidRPr="00F516B7" w:rsidRDefault="00406488" w:rsidP="00406488">
            <w:pPr>
              <w:rPr>
                <w:rFonts w:cs="Arial"/>
                <w:szCs w:val="24"/>
                <w:lang w:eastAsia="en-GB"/>
              </w:rPr>
            </w:pPr>
            <w:r w:rsidRPr="00F516B7">
              <w:rPr>
                <w:rFonts w:cs="Arial"/>
                <w:szCs w:val="24"/>
                <w:lang w:eastAsia="en-GB"/>
              </w:rPr>
              <w:t>OZEV 2</w:t>
            </w:r>
          </w:p>
        </w:tc>
        <w:tc>
          <w:tcPr>
            <w:tcW w:w="1400" w:type="dxa"/>
            <w:tcBorders>
              <w:top w:val="nil"/>
              <w:left w:val="nil"/>
              <w:bottom w:val="single" w:sz="4" w:space="0" w:color="auto"/>
              <w:right w:val="single" w:sz="4" w:space="0" w:color="auto"/>
            </w:tcBorders>
            <w:shd w:val="clear" w:color="auto" w:fill="auto"/>
            <w:noWrap/>
            <w:vAlign w:val="center"/>
            <w:hideMark/>
          </w:tcPr>
          <w:p w14:paraId="29F9DBCD" w14:textId="77777777" w:rsidR="00406488" w:rsidRPr="00F516B7" w:rsidRDefault="00406488" w:rsidP="00406488">
            <w:pPr>
              <w:jc w:val="right"/>
              <w:rPr>
                <w:rFonts w:cs="Arial"/>
                <w:szCs w:val="24"/>
                <w:lang w:eastAsia="en-GB"/>
              </w:rPr>
            </w:pPr>
            <w:r w:rsidRPr="00F516B7">
              <w:rPr>
                <w:rFonts w:cs="Arial"/>
                <w:szCs w:val="24"/>
                <w:lang w:eastAsia="en-GB"/>
              </w:rPr>
              <w:t>£109,900</w:t>
            </w:r>
          </w:p>
        </w:tc>
        <w:tc>
          <w:tcPr>
            <w:tcW w:w="1880" w:type="dxa"/>
            <w:tcBorders>
              <w:top w:val="nil"/>
              <w:left w:val="nil"/>
              <w:bottom w:val="single" w:sz="4" w:space="0" w:color="auto"/>
              <w:right w:val="single" w:sz="4" w:space="0" w:color="auto"/>
            </w:tcBorders>
            <w:shd w:val="clear" w:color="auto" w:fill="auto"/>
            <w:noWrap/>
            <w:vAlign w:val="center"/>
            <w:hideMark/>
          </w:tcPr>
          <w:p w14:paraId="71720789" w14:textId="77777777" w:rsidR="00406488" w:rsidRPr="00F516B7" w:rsidRDefault="00406488" w:rsidP="00406488">
            <w:pPr>
              <w:jc w:val="center"/>
              <w:rPr>
                <w:rFonts w:cs="Arial"/>
                <w:szCs w:val="24"/>
                <w:lang w:eastAsia="en-GB"/>
              </w:rPr>
            </w:pPr>
            <w:r w:rsidRPr="00F516B7">
              <w:rPr>
                <w:rFonts w:cs="Arial"/>
                <w:szCs w:val="24"/>
                <w:lang w:eastAsia="en-GB"/>
              </w:rPr>
              <w:t>25%</w:t>
            </w:r>
          </w:p>
        </w:tc>
        <w:tc>
          <w:tcPr>
            <w:tcW w:w="1500" w:type="dxa"/>
            <w:tcBorders>
              <w:top w:val="nil"/>
              <w:left w:val="nil"/>
              <w:bottom w:val="single" w:sz="4" w:space="0" w:color="auto"/>
              <w:right w:val="single" w:sz="4" w:space="0" w:color="auto"/>
            </w:tcBorders>
            <w:shd w:val="clear" w:color="auto" w:fill="auto"/>
            <w:noWrap/>
            <w:vAlign w:val="center"/>
            <w:hideMark/>
          </w:tcPr>
          <w:p w14:paraId="3E97F839" w14:textId="77777777" w:rsidR="00406488" w:rsidRPr="00F516B7" w:rsidRDefault="00406488" w:rsidP="00406488">
            <w:pPr>
              <w:jc w:val="right"/>
              <w:rPr>
                <w:rFonts w:cs="Arial"/>
                <w:szCs w:val="24"/>
                <w:lang w:eastAsia="en-GB"/>
              </w:rPr>
            </w:pPr>
            <w:r w:rsidRPr="00F516B7">
              <w:rPr>
                <w:rFonts w:cs="Arial"/>
                <w:szCs w:val="24"/>
                <w:lang w:eastAsia="en-GB"/>
              </w:rPr>
              <w:t>£36,633</w:t>
            </w:r>
          </w:p>
        </w:tc>
      </w:tr>
      <w:tr w:rsidR="00F516B7" w:rsidRPr="00F516B7" w14:paraId="7A9A0AFE" w14:textId="77777777" w:rsidTr="00406488">
        <w:trPr>
          <w:trHeight w:val="31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DD85C26" w14:textId="77777777" w:rsidR="00406488" w:rsidRPr="00F516B7" w:rsidRDefault="00406488" w:rsidP="00406488">
            <w:pPr>
              <w:rPr>
                <w:rFonts w:cs="Arial"/>
                <w:szCs w:val="24"/>
                <w:lang w:eastAsia="en-GB"/>
              </w:rPr>
            </w:pPr>
            <w:r w:rsidRPr="00F516B7">
              <w:rPr>
                <w:rFonts w:cs="Arial"/>
                <w:szCs w:val="24"/>
                <w:lang w:eastAsia="en-GB"/>
              </w:rPr>
              <w:t>OZEV 3</w:t>
            </w:r>
          </w:p>
        </w:tc>
        <w:tc>
          <w:tcPr>
            <w:tcW w:w="1400" w:type="dxa"/>
            <w:tcBorders>
              <w:top w:val="nil"/>
              <w:left w:val="nil"/>
              <w:bottom w:val="single" w:sz="4" w:space="0" w:color="auto"/>
              <w:right w:val="single" w:sz="4" w:space="0" w:color="auto"/>
            </w:tcBorders>
            <w:shd w:val="clear" w:color="auto" w:fill="auto"/>
            <w:noWrap/>
            <w:vAlign w:val="center"/>
            <w:hideMark/>
          </w:tcPr>
          <w:p w14:paraId="70541DDB" w14:textId="77777777" w:rsidR="00406488" w:rsidRPr="00F516B7" w:rsidRDefault="00406488" w:rsidP="00406488">
            <w:pPr>
              <w:jc w:val="right"/>
              <w:rPr>
                <w:rFonts w:cs="Arial"/>
                <w:szCs w:val="24"/>
                <w:lang w:eastAsia="en-GB"/>
              </w:rPr>
            </w:pPr>
            <w:r w:rsidRPr="00F516B7">
              <w:rPr>
                <w:rFonts w:cs="Arial"/>
                <w:szCs w:val="24"/>
                <w:lang w:eastAsia="en-GB"/>
              </w:rPr>
              <w:t>£410,940</w:t>
            </w:r>
          </w:p>
        </w:tc>
        <w:tc>
          <w:tcPr>
            <w:tcW w:w="1880" w:type="dxa"/>
            <w:tcBorders>
              <w:top w:val="nil"/>
              <w:left w:val="nil"/>
              <w:bottom w:val="single" w:sz="4" w:space="0" w:color="auto"/>
              <w:right w:val="single" w:sz="4" w:space="0" w:color="auto"/>
            </w:tcBorders>
            <w:shd w:val="clear" w:color="auto" w:fill="auto"/>
            <w:noWrap/>
            <w:vAlign w:val="center"/>
            <w:hideMark/>
          </w:tcPr>
          <w:p w14:paraId="660A44BB" w14:textId="77777777" w:rsidR="00406488" w:rsidRPr="00F516B7" w:rsidRDefault="00406488" w:rsidP="00406488">
            <w:pPr>
              <w:jc w:val="center"/>
              <w:rPr>
                <w:rFonts w:cs="Arial"/>
                <w:szCs w:val="24"/>
                <w:lang w:eastAsia="en-GB"/>
              </w:rPr>
            </w:pPr>
            <w:r w:rsidRPr="00F516B7">
              <w:rPr>
                <w:rFonts w:cs="Arial"/>
                <w:szCs w:val="24"/>
                <w:lang w:eastAsia="en-GB"/>
              </w:rPr>
              <w:t>40%</w:t>
            </w:r>
          </w:p>
        </w:tc>
        <w:tc>
          <w:tcPr>
            <w:tcW w:w="1500" w:type="dxa"/>
            <w:tcBorders>
              <w:top w:val="nil"/>
              <w:left w:val="nil"/>
              <w:bottom w:val="single" w:sz="4" w:space="0" w:color="auto"/>
              <w:right w:val="single" w:sz="4" w:space="0" w:color="auto"/>
            </w:tcBorders>
            <w:shd w:val="clear" w:color="auto" w:fill="auto"/>
            <w:noWrap/>
            <w:vAlign w:val="center"/>
            <w:hideMark/>
          </w:tcPr>
          <w:p w14:paraId="32FBA29C" w14:textId="77777777" w:rsidR="00406488" w:rsidRPr="00F516B7" w:rsidRDefault="00406488" w:rsidP="00406488">
            <w:pPr>
              <w:jc w:val="right"/>
              <w:rPr>
                <w:rFonts w:cs="Arial"/>
                <w:szCs w:val="24"/>
                <w:lang w:eastAsia="en-GB"/>
              </w:rPr>
            </w:pPr>
            <w:r w:rsidRPr="00F516B7">
              <w:rPr>
                <w:rFonts w:cs="Arial"/>
                <w:szCs w:val="24"/>
                <w:lang w:eastAsia="en-GB"/>
              </w:rPr>
              <w:t>£273,960</w:t>
            </w:r>
          </w:p>
        </w:tc>
      </w:tr>
      <w:tr w:rsidR="00F516B7" w:rsidRPr="00F516B7" w14:paraId="551E8FAC" w14:textId="77777777" w:rsidTr="00406488">
        <w:trPr>
          <w:trHeight w:val="31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2A4A7B1" w14:textId="77777777" w:rsidR="00406488" w:rsidRPr="00F516B7" w:rsidRDefault="00406488" w:rsidP="00406488">
            <w:pPr>
              <w:rPr>
                <w:rFonts w:cs="Arial"/>
                <w:szCs w:val="24"/>
                <w:lang w:eastAsia="en-GB"/>
              </w:rPr>
            </w:pPr>
            <w:r w:rsidRPr="00F516B7">
              <w:rPr>
                <w:rFonts w:cs="Arial"/>
                <w:szCs w:val="24"/>
                <w:lang w:eastAsia="en-GB"/>
              </w:rPr>
              <w:t> </w:t>
            </w:r>
          </w:p>
        </w:tc>
        <w:tc>
          <w:tcPr>
            <w:tcW w:w="1400" w:type="dxa"/>
            <w:tcBorders>
              <w:top w:val="nil"/>
              <w:left w:val="nil"/>
              <w:bottom w:val="single" w:sz="4" w:space="0" w:color="auto"/>
              <w:right w:val="single" w:sz="4" w:space="0" w:color="auto"/>
            </w:tcBorders>
            <w:shd w:val="clear" w:color="auto" w:fill="auto"/>
            <w:noWrap/>
            <w:vAlign w:val="center"/>
            <w:hideMark/>
          </w:tcPr>
          <w:p w14:paraId="01C1D6B2" w14:textId="77777777" w:rsidR="00406488" w:rsidRPr="00F516B7" w:rsidRDefault="00406488" w:rsidP="00406488">
            <w:pPr>
              <w:jc w:val="right"/>
              <w:rPr>
                <w:rFonts w:cs="Arial"/>
                <w:b/>
                <w:bCs/>
                <w:szCs w:val="24"/>
                <w:lang w:eastAsia="en-GB"/>
              </w:rPr>
            </w:pPr>
            <w:r w:rsidRPr="00F516B7">
              <w:rPr>
                <w:rFonts w:cs="Arial"/>
                <w:b/>
                <w:bCs/>
                <w:szCs w:val="24"/>
                <w:lang w:eastAsia="en-GB"/>
              </w:rPr>
              <w:t>£520,840</w:t>
            </w:r>
          </w:p>
        </w:tc>
        <w:tc>
          <w:tcPr>
            <w:tcW w:w="1880" w:type="dxa"/>
            <w:tcBorders>
              <w:top w:val="nil"/>
              <w:left w:val="nil"/>
              <w:bottom w:val="single" w:sz="4" w:space="0" w:color="auto"/>
              <w:right w:val="single" w:sz="4" w:space="0" w:color="auto"/>
            </w:tcBorders>
            <w:shd w:val="clear" w:color="auto" w:fill="auto"/>
            <w:noWrap/>
            <w:vAlign w:val="center"/>
            <w:hideMark/>
          </w:tcPr>
          <w:p w14:paraId="04561049" w14:textId="77777777" w:rsidR="00406488" w:rsidRPr="00F516B7" w:rsidRDefault="00406488" w:rsidP="00406488">
            <w:pPr>
              <w:rPr>
                <w:rFonts w:cs="Arial"/>
                <w:szCs w:val="24"/>
                <w:lang w:eastAsia="en-GB"/>
              </w:rPr>
            </w:pPr>
            <w:r w:rsidRPr="00F516B7">
              <w:rPr>
                <w:rFonts w:cs="Arial"/>
                <w:szCs w:val="24"/>
                <w:lang w:eastAsia="en-GB"/>
              </w:rPr>
              <w:t> </w:t>
            </w:r>
          </w:p>
        </w:tc>
        <w:tc>
          <w:tcPr>
            <w:tcW w:w="1500" w:type="dxa"/>
            <w:tcBorders>
              <w:top w:val="nil"/>
              <w:left w:val="nil"/>
              <w:bottom w:val="single" w:sz="4" w:space="0" w:color="auto"/>
              <w:right w:val="single" w:sz="4" w:space="0" w:color="auto"/>
            </w:tcBorders>
            <w:shd w:val="clear" w:color="auto" w:fill="auto"/>
            <w:noWrap/>
            <w:vAlign w:val="center"/>
            <w:hideMark/>
          </w:tcPr>
          <w:p w14:paraId="74BB6BAC" w14:textId="77777777" w:rsidR="00406488" w:rsidRPr="00F516B7" w:rsidRDefault="00406488" w:rsidP="00406488">
            <w:pPr>
              <w:jc w:val="right"/>
              <w:rPr>
                <w:rFonts w:cs="Arial"/>
                <w:b/>
                <w:bCs/>
                <w:szCs w:val="24"/>
                <w:lang w:eastAsia="en-GB"/>
              </w:rPr>
            </w:pPr>
            <w:r w:rsidRPr="00F516B7">
              <w:rPr>
                <w:rFonts w:cs="Arial"/>
                <w:b/>
                <w:bCs/>
                <w:szCs w:val="24"/>
                <w:lang w:eastAsia="en-GB"/>
              </w:rPr>
              <w:t>£310,593</w:t>
            </w:r>
          </w:p>
        </w:tc>
      </w:tr>
    </w:tbl>
    <w:p w14:paraId="40675697" w14:textId="77777777" w:rsidR="00594EE3" w:rsidRPr="00F516B7" w:rsidRDefault="00594EE3" w:rsidP="00FD67CF"/>
    <w:p w14:paraId="55BCC910" w14:textId="11DF2E52" w:rsidR="0072595A" w:rsidRPr="00F516B7" w:rsidRDefault="00FB246C" w:rsidP="00FD67CF">
      <w:r>
        <w:t xml:space="preserve">2.44 </w:t>
      </w:r>
      <w:r w:rsidR="00BF5550" w:rsidRPr="00F516B7">
        <w:t xml:space="preserve">The majority of the grant funding is expected to be retained by the Council to fund </w:t>
      </w:r>
      <w:r w:rsidR="00C047AB" w:rsidRPr="00F516B7">
        <w:t xml:space="preserve">civil works and </w:t>
      </w:r>
      <w:r w:rsidR="00683811" w:rsidRPr="00F516B7">
        <w:t xml:space="preserve">signage. </w:t>
      </w:r>
      <w:r w:rsidR="008E5802" w:rsidRPr="00F516B7">
        <w:t xml:space="preserve">This is estimated at </w:t>
      </w:r>
      <w:r w:rsidR="001B4FC0" w:rsidRPr="00F516B7">
        <w:t>£479k</w:t>
      </w:r>
      <w:r w:rsidR="00B5280B" w:rsidRPr="00F516B7">
        <w:t xml:space="preserve"> in total</w:t>
      </w:r>
      <w:r w:rsidR="00160257" w:rsidRPr="00F516B7">
        <w:t xml:space="preserve">. </w:t>
      </w:r>
      <w:r w:rsidRPr="00F516B7">
        <w:t>Therefore,</w:t>
      </w:r>
      <w:r w:rsidR="00D125FB" w:rsidRPr="00F516B7">
        <w:t xml:space="preserve"> the</w:t>
      </w:r>
      <w:r w:rsidR="00FF615B" w:rsidRPr="00F516B7">
        <w:t xml:space="preserve"> financial</w:t>
      </w:r>
      <w:r w:rsidR="00D125FB" w:rsidRPr="00F516B7">
        <w:t xml:space="preserve"> </w:t>
      </w:r>
      <w:r w:rsidR="00F475AF" w:rsidRPr="00F516B7">
        <w:t xml:space="preserve">contribution to the installation of EV </w:t>
      </w:r>
      <w:r w:rsidR="00FF615B" w:rsidRPr="00F516B7">
        <w:t xml:space="preserve">charging points </w:t>
      </w:r>
      <w:r w:rsidR="00373180" w:rsidRPr="00F516B7">
        <w:t xml:space="preserve">is £41k and the rest of the </w:t>
      </w:r>
      <w:r w:rsidR="00A41022" w:rsidRPr="00F516B7">
        <w:t xml:space="preserve">installation </w:t>
      </w:r>
      <w:r w:rsidR="00373180" w:rsidRPr="00F516B7">
        <w:t xml:space="preserve">costs will be borne by the successful bidder of the proposed procurement exercise in a form of match funding. </w:t>
      </w:r>
    </w:p>
    <w:p w14:paraId="1660A815" w14:textId="7B8DEE00" w:rsidR="00405EBD" w:rsidRPr="00F516B7" w:rsidRDefault="00405EBD" w:rsidP="00FD67CF">
      <w:r w:rsidRPr="00F516B7">
        <w:t xml:space="preserve">The successful bidder will be responsible for </w:t>
      </w:r>
      <w:r w:rsidR="00D441B2" w:rsidRPr="00F516B7">
        <w:t>installing and maintaining the EV charging points</w:t>
      </w:r>
      <w:r w:rsidR="004A2244" w:rsidRPr="00F516B7">
        <w:t xml:space="preserve"> and charging customers for the use of the facility</w:t>
      </w:r>
      <w:r w:rsidR="00D441B2" w:rsidRPr="00F516B7">
        <w:t xml:space="preserve">. </w:t>
      </w:r>
      <w:r w:rsidR="00DE6B89" w:rsidRPr="00F516B7">
        <w:t xml:space="preserve">There will be no on-going revenue costs to the Council. </w:t>
      </w:r>
    </w:p>
    <w:p w14:paraId="174EC0F3" w14:textId="77777777" w:rsidR="00DE6B89" w:rsidRPr="00F516B7" w:rsidRDefault="00DE6B89" w:rsidP="00FD67CF"/>
    <w:p w14:paraId="20AD3AA2" w14:textId="6C03CAA8" w:rsidR="00DE6B89" w:rsidRPr="00F516B7" w:rsidRDefault="00FB246C" w:rsidP="00FD67CF">
      <w:r>
        <w:t xml:space="preserve">2.45 </w:t>
      </w:r>
      <w:r w:rsidR="00DE6B89" w:rsidRPr="00F516B7">
        <w:t xml:space="preserve">The </w:t>
      </w:r>
      <w:r w:rsidR="008351B0" w:rsidRPr="00F516B7">
        <w:t xml:space="preserve">pricing schedule </w:t>
      </w:r>
      <w:r w:rsidR="002D4A9D" w:rsidRPr="00F516B7">
        <w:t xml:space="preserve">of the tender pack also asks bidders to propose a % income share with the </w:t>
      </w:r>
      <w:r w:rsidR="004A2244" w:rsidRPr="00F516B7">
        <w:t>Council. It is anticipated that there will be a</w:t>
      </w:r>
      <w:r w:rsidR="001D01C7" w:rsidRPr="00F516B7">
        <w:t xml:space="preserve"> modest</w:t>
      </w:r>
      <w:r w:rsidR="006053A8" w:rsidRPr="00F516B7">
        <w:t xml:space="preserve"> income </w:t>
      </w:r>
      <w:r w:rsidR="001D01C7" w:rsidRPr="00F516B7">
        <w:t xml:space="preserve">which will </w:t>
      </w:r>
      <w:r w:rsidR="00285CAB" w:rsidRPr="00F516B7">
        <w:t xml:space="preserve">be used to contribute towards the </w:t>
      </w:r>
      <w:r w:rsidR="004E5000" w:rsidRPr="00F516B7">
        <w:t>saving target</w:t>
      </w:r>
      <w:r w:rsidR="007A170B" w:rsidRPr="00F516B7">
        <w:t xml:space="preserve"> in relation to </w:t>
      </w:r>
      <w:r w:rsidR="00451AB2" w:rsidRPr="00F516B7">
        <w:t>EV charging</w:t>
      </w:r>
      <w:r w:rsidR="004E5000" w:rsidRPr="00F516B7">
        <w:t xml:space="preserve"> in the approved MTFS. </w:t>
      </w:r>
    </w:p>
    <w:p w14:paraId="4E49DAFC" w14:textId="77777777" w:rsidR="004E5000" w:rsidRPr="00F516B7" w:rsidRDefault="004E5000" w:rsidP="00FD67CF"/>
    <w:p w14:paraId="4E1529C7" w14:textId="6C90FDBA" w:rsidR="004E5000" w:rsidRPr="00F516B7" w:rsidRDefault="00FB246C" w:rsidP="00FD67CF">
      <w:r>
        <w:t xml:space="preserve">2.46 </w:t>
      </w:r>
      <w:r w:rsidR="00AF0087" w:rsidRPr="00F516B7">
        <w:t xml:space="preserve">The proposal of rapid charging provision in Council car parks and other locations </w:t>
      </w:r>
      <w:r w:rsidR="00722F46" w:rsidRPr="00F516B7">
        <w:t>is subject to a further Cabinet report</w:t>
      </w:r>
      <w:r w:rsidR="00F42EA8" w:rsidRPr="00F516B7">
        <w:t xml:space="preserve">. Funding sources </w:t>
      </w:r>
      <w:r w:rsidR="000B4E24" w:rsidRPr="00F516B7">
        <w:t xml:space="preserve">will need to be identified for </w:t>
      </w:r>
      <w:r w:rsidR="002A78A6" w:rsidRPr="00F516B7">
        <w:t xml:space="preserve">this. </w:t>
      </w:r>
      <w:r w:rsidR="00AF0087" w:rsidRPr="00F516B7">
        <w:t xml:space="preserve"> </w:t>
      </w:r>
    </w:p>
    <w:p w14:paraId="4A720841" w14:textId="77777777" w:rsidR="00A81C77" w:rsidRDefault="00A81C77" w:rsidP="00A81C77">
      <w:pPr>
        <w:pStyle w:val="Heading3"/>
        <w:spacing w:before="480" w:after="240"/>
      </w:pPr>
      <w:r w:rsidRPr="004A2543">
        <w:t>Equalities implications</w:t>
      </w:r>
      <w:r>
        <w:t xml:space="preserve"> </w:t>
      </w:r>
      <w:r w:rsidRPr="00333FAA">
        <w:t>/</w:t>
      </w:r>
      <w:r>
        <w:t xml:space="preserve"> </w:t>
      </w:r>
      <w:r w:rsidRPr="00333FAA">
        <w:t>Public Sector Equality Duty</w:t>
      </w:r>
    </w:p>
    <w:p w14:paraId="002097C3" w14:textId="1DFA8FEB" w:rsidR="0068305C" w:rsidRPr="00FB246C" w:rsidRDefault="00FB246C" w:rsidP="00515445">
      <w:pPr>
        <w:rPr>
          <w:szCs w:val="24"/>
        </w:rPr>
      </w:pPr>
      <w:r w:rsidRPr="00FB246C">
        <w:rPr>
          <w:szCs w:val="24"/>
        </w:rPr>
        <w:t xml:space="preserve">2.47 </w:t>
      </w:r>
      <w:r w:rsidR="0068305C" w:rsidRPr="00FB246C">
        <w:rPr>
          <w:szCs w:val="24"/>
        </w:rPr>
        <w:t>There are no physical changes to the highways as a result of these works which might affect accessibility.</w:t>
      </w:r>
    </w:p>
    <w:p w14:paraId="573B07D2" w14:textId="77777777" w:rsidR="0068305C" w:rsidRPr="00FB246C" w:rsidRDefault="0068305C" w:rsidP="00515445">
      <w:pPr>
        <w:rPr>
          <w:szCs w:val="24"/>
        </w:rPr>
      </w:pPr>
    </w:p>
    <w:p w14:paraId="74978219" w14:textId="300B8B41" w:rsidR="00515445" w:rsidRPr="00FB246C" w:rsidRDefault="00FB246C" w:rsidP="005E158A">
      <w:pPr>
        <w:rPr>
          <w:szCs w:val="24"/>
        </w:rPr>
      </w:pPr>
      <w:r w:rsidRPr="00FB246C">
        <w:rPr>
          <w:szCs w:val="24"/>
        </w:rPr>
        <w:t xml:space="preserve">2.48 </w:t>
      </w:r>
      <w:r w:rsidR="00515445" w:rsidRPr="00FB246C">
        <w:rPr>
          <w:szCs w:val="24"/>
        </w:rPr>
        <w:t>There are no equalities implication to this decision.</w:t>
      </w:r>
    </w:p>
    <w:p w14:paraId="3135124C" w14:textId="40CF03C5" w:rsidR="007812BE" w:rsidRDefault="00A81C77" w:rsidP="005E158A">
      <w:pPr>
        <w:pStyle w:val="Heading4"/>
        <w:spacing w:before="480"/>
      </w:pPr>
      <w:r w:rsidRPr="00AF31F7">
        <w:rPr>
          <w:sz w:val="28"/>
          <w:szCs w:val="28"/>
        </w:rPr>
        <w:t>Council Priorities</w:t>
      </w:r>
    </w:p>
    <w:p w14:paraId="2DDE07B3" w14:textId="77777777" w:rsidR="00E857E1" w:rsidRDefault="00E857E1" w:rsidP="005E158A">
      <w:pPr>
        <w:pStyle w:val="StyleListParagraphBold"/>
        <w:ind w:left="0"/>
      </w:pPr>
    </w:p>
    <w:p w14:paraId="74C0675F" w14:textId="65E7EC74" w:rsidR="007E14A3" w:rsidRPr="005E158A" w:rsidRDefault="00FB246C" w:rsidP="00E857E1">
      <w:pPr>
        <w:pStyle w:val="StyleListParagraphBold"/>
        <w:ind w:left="0"/>
        <w:rPr>
          <w:b w:val="0"/>
          <w:bCs w:val="0"/>
          <w:color w:val="auto"/>
        </w:rPr>
      </w:pPr>
      <w:r>
        <w:rPr>
          <w:b w:val="0"/>
          <w:bCs w:val="0"/>
          <w:color w:val="auto"/>
        </w:rPr>
        <w:t xml:space="preserve">2.49 </w:t>
      </w:r>
      <w:r w:rsidR="00E857E1" w:rsidRPr="005E158A">
        <w:rPr>
          <w:b w:val="0"/>
          <w:bCs w:val="0"/>
          <w:color w:val="auto"/>
        </w:rPr>
        <w:t xml:space="preserve">The expansion of EV charging provision aims to deliver a lower carbon borough. It will help deliver the Council’s </w:t>
      </w:r>
      <w:r w:rsidR="00D21121" w:rsidRPr="005E158A">
        <w:rPr>
          <w:b w:val="0"/>
          <w:bCs w:val="0"/>
          <w:color w:val="auto"/>
        </w:rPr>
        <w:t xml:space="preserve">overall </w:t>
      </w:r>
      <w:r w:rsidR="00E857E1" w:rsidRPr="005E158A">
        <w:rPr>
          <w:b w:val="0"/>
          <w:bCs w:val="0"/>
          <w:color w:val="auto"/>
        </w:rPr>
        <w:t>vision of Restoring Pride in Harrow by realising the opportunities of new jobs and investment</w:t>
      </w:r>
      <w:r w:rsidR="00D21121" w:rsidRPr="005E158A">
        <w:rPr>
          <w:b w:val="0"/>
          <w:bCs w:val="0"/>
          <w:color w:val="auto"/>
        </w:rPr>
        <w:t xml:space="preserve"> in Electric Vehicles and associated infrastructure</w:t>
      </w:r>
      <w:r w:rsidR="00E857E1" w:rsidRPr="005E158A">
        <w:rPr>
          <w:b w:val="0"/>
          <w:bCs w:val="0"/>
          <w:color w:val="auto"/>
        </w:rPr>
        <w:t>, improved health</w:t>
      </w:r>
      <w:r w:rsidR="00D21121" w:rsidRPr="005E158A">
        <w:rPr>
          <w:b w:val="0"/>
          <w:bCs w:val="0"/>
          <w:color w:val="auto"/>
        </w:rPr>
        <w:t xml:space="preserve"> and air quality </w:t>
      </w:r>
      <w:r w:rsidR="00E857E1" w:rsidRPr="005E158A">
        <w:rPr>
          <w:b w:val="0"/>
          <w:bCs w:val="0"/>
          <w:color w:val="auto"/>
        </w:rPr>
        <w:t xml:space="preserve">and a </w:t>
      </w:r>
      <w:r w:rsidR="00D21121" w:rsidRPr="005E158A">
        <w:rPr>
          <w:b w:val="0"/>
          <w:bCs w:val="0"/>
          <w:color w:val="auto"/>
        </w:rPr>
        <w:t xml:space="preserve">more pleasant, </w:t>
      </w:r>
      <w:r w:rsidR="00E857E1" w:rsidRPr="005E158A">
        <w:rPr>
          <w:b w:val="0"/>
          <w:bCs w:val="0"/>
          <w:color w:val="auto"/>
        </w:rPr>
        <w:t>thriving environment for local people.</w:t>
      </w:r>
    </w:p>
    <w:p w14:paraId="48D098B0" w14:textId="77777777" w:rsidR="007E14A3" w:rsidRPr="005E158A" w:rsidRDefault="007E14A3" w:rsidP="00E857E1">
      <w:pPr>
        <w:pStyle w:val="StyleListParagraphBold"/>
        <w:ind w:left="0"/>
        <w:rPr>
          <w:b w:val="0"/>
          <w:bCs w:val="0"/>
          <w:color w:val="auto"/>
        </w:rPr>
      </w:pPr>
    </w:p>
    <w:p w14:paraId="07C3E8AD" w14:textId="754D3C9B" w:rsidR="00E857E1" w:rsidRPr="005E158A" w:rsidRDefault="00FB246C" w:rsidP="005E158A">
      <w:pPr>
        <w:pStyle w:val="StyleListParagraphBold"/>
        <w:ind w:left="0"/>
        <w:rPr>
          <w:b w:val="0"/>
          <w:bCs w:val="0"/>
          <w:color w:val="auto"/>
        </w:rPr>
      </w:pPr>
      <w:r>
        <w:rPr>
          <w:b w:val="0"/>
          <w:bCs w:val="0"/>
          <w:color w:val="auto"/>
        </w:rPr>
        <w:t xml:space="preserve">2.50 </w:t>
      </w:r>
      <w:r w:rsidR="007E14A3" w:rsidRPr="005E158A">
        <w:rPr>
          <w:b w:val="0"/>
          <w:bCs w:val="0"/>
          <w:color w:val="auto"/>
        </w:rPr>
        <w:t xml:space="preserve">The increase in public charging </w:t>
      </w:r>
      <w:r w:rsidR="00ED458F" w:rsidRPr="005E158A">
        <w:rPr>
          <w:b w:val="0"/>
          <w:bCs w:val="0"/>
          <w:color w:val="auto"/>
        </w:rPr>
        <w:t xml:space="preserve">helps to put residents first by delivering much needed infrastructure to enable </w:t>
      </w:r>
      <w:r w:rsidR="00F35B52" w:rsidRPr="005E158A">
        <w:rPr>
          <w:b w:val="0"/>
          <w:bCs w:val="0"/>
          <w:color w:val="auto"/>
        </w:rPr>
        <w:t xml:space="preserve">greater levels of </w:t>
      </w:r>
      <w:r w:rsidR="00ED458F" w:rsidRPr="005E158A">
        <w:rPr>
          <w:b w:val="0"/>
          <w:bCs w:val="0"/>
          <w:color w:val="auto"/>
        </w:rPr>
        <w:t>green mobility</w:t>
      </w:r>
      <w:r w:rsidR="00F35B52" w:rsidRPr="005E158A">
        <w:rPr>
          <w:b w:val="0"/>
          <w:bCs w:val="0"/>
          <w:color w:val="auto"/>
        </w:rPr>
        <w:t xml:space="preserve"> in </w:t>
      </w:r>
      <w:r w:rsidR="00A265D5" w:rsidRPr="005E158A">
        <w:rPr>
          <w:b w:val="0"/>
          <w:bCs w:val="0"/>
          <w:color w:val="auto"/>
        </w:rPr>
        <w:t>Harrow and</w:t>
      </w:r>
      <w:r w:rsidR="00ED458F" w:rsidRPr="005E158A">
        <w:rPr>
          <w:b w:val="0"/>
          <w:bCs w:val="0"/>
          <w:color w:val="auto"/>
        </w:rPr>
        <w:t xml:space="preserve"> contributes to a borough that is clean and safe. </w:t>
      </w:r>
      <w:r w:rsidR="0098231B" w:rsidRPr="005E158A">
        <w:rPr>
          <w:b w:val="0"/>
          <w:bCs w:val="0"/>
          <w:color w:val="auto"/>
        </w:rPr>
        <w:t xml:space="preserve">The focus on on street residential charging also aims to support those households who live in smaller </w:t>
      </w:r>
      <w:r w:rsidR="005827F8" w:rsidRPr="005E158A">
        <w:rPr>
          <w:b w:val="0"/>
          <w:bCs w:val="0"/>
          <w:color w:val="auto"/>
        </w:rPr>
        <w:t>homes with no off-street parking</w:t>
      </w:r>
      <w:r w:rsidR="00F35B52" w:rsidRPr="005E158A">
        <w:rPr>
          <w:b w:val="0"/>
          <w:bCs w:val="0"/>
          <w:color w:val="auto"/>
        </w:rPr>
        <w:t>.</w:t>
      </w:r>
    </w:p>
    <w:p w14:paraId="45D5FED8" w14:textId="77777777" w:rsidR="00A81C77" w:rsidRDefault="00A81C77" w:rsidP="00A81C77">
      <w:pPr>
        <w:pStyle w:val="Heading2"/>
        <w:spacing w:before="480" w:after="240"/>
      </w:pPr>
      <w:r>
        <w:t>Section 3 - Statutory Officer Clearance</w:t>
      </w:r>
    </w:p>
    <w:p w14:paraId="01C2AC82" w14:textId="2E20AEEF" w:rsidR="00A81C77" w:rsidRPr="00C530CC" w:rsidRDefault="00A81C77" w:rsidP="00A81C77">
      <w:pPr>
        <w:rPr>
          <w:sz w:val="28"/>
        </w:rPr>
      </w:pPr>
      <w:r w:rsidRPr="00C530CC">
        <w:rPr>
          <w:b/>
          <w:sz w:val="28"/>
        </w:rPr>
        <w:t xml:space="preserve">Statutory Officer:  </w:t>
      </w:r>
      <w:r w:rsidR="00FB246C">
        <w:rPr>
          <w:b/>
          <w:sz w:val="28"/>
        </w:rPr>
        <w:t>Dawn Calvert</w:t>
      </w:r>
    </w:p>
    <w:p w14:paraId="2460AB61" w14:textId="395DAA45" w:rsidR="00A81C77" w:rsidRPr="00C530CC" w:rsidRDefault="00A81C77" w:rsidP="00A81C77">
      <w:r w:rsidRPr="00C530CC">
        <w:t>Signed by the Chief Financial Officer</w:t>
      </w:r>
    </w:p>
    <w:p w14:paraId="54EA7B3D" w14:textId="09E16955" w:rsidR="00A81C77" w:rsidRPr="00C530CC" w:rsidRDefault="00A81C77" w:rsidP="00A81C77">
      <w:pPr>
        <w:spacing w:after="480"/>
        <w:rPr>
          <w:sz w:val="28"/>
        </w:rPr>
      </w:pPr>
      <w:r w:rsidRPr="00C530CC">
        <w:rPr>
          <w:b/>
          <w:sz w:val="28"/>
        </w:rPr>
        <w:t xml:space="preserve">Date:  </w:t>
      </w:r>
      <w:r w:rsidR="00A04222" w:rsidRPr="00C530CC">
        <w:rPr>
          <w:b/>
          <w:sz w:val="28"/>
        </w:rPr>
        <w:t>4</w:t>
      </w:r>
      <w:r w:rsidR="00A04222" w:rsidRPr="00C530CC">
        <w:rPr>
          <w:b/>
          <w:sz w:val="28"/>
          <w:vertAlign w:val="superscript"/>
        </w:rPr>
        <w:t>th</w:t>
      </w:r>
      <w:r w:rsidR="00A04222" w:rsidRPr="00C530CC">
        <w:rPr>
          <w:b/>
          <w:sz w:val="28"/>
        </w:rPr>
        <w:t xml:space="preserve"> July 2023</w:t>
      </w:r>
    </w:p>
    <w:p w14:paraId="4286A668" w14:textId="713CFC74" w:rsidR="00A81C77" w:rsidRPr="00C530CC" w:rsidRDefault="00A81C77" w:rsidP="00A81C77">
      <w:pPr>
        <w:rPr>
          <w:sz w:val="28"/>
        </w:rPr>
      </w:pPr>
      <w:r w:rsidRPr="00C530CC">
        <w:rPr>
          <w:b/>
          <w:sz w:val="28"/>
        </w:rPr>
        <w:t xml:space="preserve">Statutory Officer:  </w:t>
      </w:r>
      <w:r w:rsidR="00FB246C">
        <w:rPr>
          <w:b/>
          <w:sz w:val="28"/>
        </w:rPr>
        <w:t>Patricia Davila</w:t>
      </w:r>
    </w:p>
    <w:p w14:paraId="42AAB60D" w14:textId="4DEE5411" w:rsidR="00A81C77" w:rsidRPr="00C530CC" w:rsidRDefault="00A81C77" w:rsidP="00A81C77">
      <w:r w:rsidRPr="00C530CC">
        <w:t xml:space="preserve">Signed on </w:t>
      </w:r>
      <w:r w:rsidR="00A04222" w:rsidRPr="00C530CC">
        <w:t xml:space="preserve">behalf of </w:t>
      </w:r>
      <w:r w:rsidRPr="00C530CC">
        <w:t>the Monitoring Officer</w:t>
      </w:r>
    </w:p>
    <w:p w14:paraId="78988339" w14:textId="408B1F5C" w:rsidR="00A81C77" w:rsidRPr="00C530CC" w:rsidRDefault="00A81C77" w:rsidP="00A81C77">
      <w:pPr>
        <w:spacing w:after="480"/>
        <w:rPr>
          <w:sz w:val="28"/>
        </w:rPr>
      </w:pPr>
      <w:r w:rsidRPr="00C530CC">
        <w:rPr>
          <w:b/>
          <w:sz w:val="28"/>
        </w:rPr>
        <w:t xml:space="preserve">Date:  </w:t>
      </w:r>
      <w:r w:rsidR="00C530CC">
        <w:rPr>
          <w:b/>
          <w:sz w:val="28"/>
        </w:rPr>
        <w:t>4</w:t>
      </w:r>
      <w:r w:rsidR="00C530CC" w:rsidRPr="00C530CC">
        <w:rPr>
          <w:b/>
          <w:sz w:val="28"/>
          <w:vertAlign w:val="superscript"/>
        </w:rPr>
        <w:t>th</w:t>
      </w:r>
      <w:r w:rsidR="00C530CC">
        <w:rPr>
          <w:b/>
          <w:sz w:val="28"/>
        </w:rPr>
        <w:t xml:space="preserve"> July 2023</w:t>
      </w:r>
    </w:p>
    <w:p w14:paraId="0DEF1E3E" w14:textId="57B91169" w:rsidR="00A81C77" w:rsidRPr="00C530CC" w:rsidRDefault="00A81C77" w:rsidP="00A81C77">
      <w:pPr>
        <w:rPr>
          <w:sz w:val="28"/>
        </w:rPr>
      </w:pPr>
      <w:r w:rsidRPr="00C530CC">
        <w:rPr>
          <w:b/>
          <w:sz w:val="28"/>
        </w:rPr>
        <w:t xml:space="preserve">Chief Officer:  </w:t>
      </w:r>
      <w:r w:rsidR="00FB246C">
        <w:rPr>
          <w:b/>
          <w:sz w:val="28"/>
        </w:rPr>
        <w:t xml:space="preserve">Dipti Patel </w:t>
      </w:r>
    </w:p>
    <w:p w14:paraId="2967DFCE" w14:textId="77777777" w:rsidR="00A81C77" w:rsidRPr="00C530CC" w:rsidRDefault="00A81C77" w:rsidP="00A81C77">
      <w:r w:rsidRPr="00C530CC">
        <w:t>Signed off by the Corporate Director</w:t>
      </w:r>
    </w:p>
    <w:p w14:paraId="02A32440" w14:textId="460A8979" w:rsidR="00A81C77" w:rsidRPr="00C530CC" w:rsidRDefault="00A81C77" w:rsidP="00A81C77">
      <w:pPr>
        <w:spacing w:after="480"/>
        <w:rPr>
          <w:sz w:val="28"/>
        </w:rPr>
      </w:pPr>
      <w:r w:rsidRPr="00C530CC">
        <w:rPr>
          <w:b/>
          <w:sz w:val="28"/>
        </w:rPr>
        <w:t xml:space="preserve">Date:  </w:t>
      </w:r>
      <w:r w:rsidR="0033684C" w:rsidRPr="00C530CC">
        <w:rPr>
          <w:b/>
          <w:sz w:val="28"/>
        </w:rPr>
        <w:t>5</w:t>
      </w:r>
      <w:r w:rsidR="0033684C" w:rsidRPr="00C530CC">
        <w:rPr>
          <w:b/>
          <w:sz w:val="28"/>
          <w:vertAlign w:val="superscript"/>
        </w:rPr>
        <w:t>th</w:t>
      </w:r>
      <w:r w:rsidR="0033684C" w:rsidRPr="00C530CC">
        <w:rPr>
          <w:b/>
          <w:sz w:val="28"/>
        </w:rPr>
        <w:t xml:space="preserve"> July 2023</w:t>
      </w:r>
    </w:p>
    <w:p w14:paraId="47B25609" w14:textId="5C37C20C" w:rsidR="00A81C77" w:rsidRPr="00C530CC" w:rsidRDefault="00A81C77" w:rsidP="00A81C77">
      <w:pPr>
        <w:rPr>
          <w:sz w:val="28"/>
        </w:rPr>
      </w:pPr>
      <w:r w:rsidRPr="00C530CC">
        <w:rPr>
          <w:b/>
          <w:sz w:val="28"/>
        </w:rPr>
        <w:t xml:space="preserve">Head of Procurement:  </w:t>
      </w:r>
      <w:r w:rsidR="00FB246C">
        <w:rPr>
          <w:b/>
          <w:sz w:val="28"/>
        </w:rPr>
        <w:t>David Hayes</w:t>
      </w:r>
    </w:p>
    <w:p w14:paraId="66D68602" w14:textId="41660A68" w:rsidR="00A81C77" w:rsidRPr="00FB246C" w:rsidRDefault="00A81C77" w:rsidP="00A81C77">
      <w:r w:rsidRPr="00C530CC">
        <w:t>Signed on behalf of</w:t>
      </w:r>
      <w:r w:rsidR="00823326" w:rsidRPr="00C530CC">
        <w:t xml:space="preserve"> </w:t>
      </w:r>
      <w:r w:rsidRPr="00C530CC">
        <w:t>the Head of Procurement</w:t>
      </w:r>
    </w:p>
    <w:p w14:paraId="4EDFE02E" w14:textId="2DBBA33F" w:rsidR="00A81C77" w:rsidRPr="00C530CC" w:rsidRDefault="00A81C77" w:rsidP="00A81C77">
      <w:pPr>
        <w:spacing w:after="480"/>
        <w:rPr>
          <w:sz w:val="28"/>
        </w:rPr>
      </w:pPr>
      <w:r w:rsidRPr="00C530CC">
        <w:rPr>
          <w:b/>
          <w:sz w:val="28"/>
        </w:rPr>
        <w:t xml:space="preserve">Date:  </w:t>
      </w:r>
      <w:r w:rsidR="00823326" w:rsidRPr="00C530CC">
        <w:rPr>
          <w:b/>
          <w:sz w:val="28"/>
        </w:rPr>
        <w:t>4</w:t>
      </w:r>
      <w:r w:rsidR="00823326" w:rsidRPr="00C530CC">
        <w:rPr>
          <w:b/>
          <w:sz w:val="28"/>
          <w:vertAlign w:val="superscript"/>
        </w:rPr>
        <w:t>th</w:t>
      </w:r>
      <w:r w:rsidR="00823326" w:rsidRPr="00C530CC">
        <w:rPr>
          <w:b/>
          <w:sz w:val="28"/>
        </w:rPr>
        <w:t xml:space="preserve"> July</w:t>
      </w:r>
      <w:r w:rsidR="00D200D1" w:rsidRPr="00C530CC">
        <w:rPr>
          <w:b/>
          <w:sz w:val="28"/>
        </w:rPr>
        <w:t xml:space="preserve"> 2023</w:t>
      </w:r>
    </w:p>
    <w:p w14:paraId="51D76DE8" w14:textId="77777777" w:rsidR="00FB246C" w:rsidRDefault="00FB246C" w:rsidP="00A81C77">
      <w:pPr>
        <w:rPr>
          <w:b/>
          <w:sz w:val="28"/>
        </w:rPr>
      </w:pPr>
    </w:p>
    <w:p w14:paraId="7DA81C4C" w14:textId="1BB64C60" w:rsidR="00A81C77" w:rsidRPr="00C530CC" w:rsidRDefault="00A81C77" w:rsidP="00A81C77">
      <w:pPr>
        <w:rPr>
          <w:sz w:val="28"/>
        </w:rPr>
      </w:pPr>
      <w:r w:rsidRPr="00C530CC">
        <w:rPr>
          <w:b/>
          <w:sz w:val="28"/>
        </w:rPr>
        <w:t xml:space="preserve">Head of Internal Audit:  </w:t>
      </w:r>
      <w:r w:rsidR="00FB246C">
        <w:rPr>
          <w:b/>
          <w:sz w:val="28"/>
        </w:rPr>
        <w:t>Neale Burns</w:t>
      </w:r>
    </w:p>
    <w:p w14:paraId="35529CC6" w14:textId="26541756" w:rsidR="00A81C77" w:rsidRPr="00C530CC" w:rsidRDefault="00A81C77" w:rsidP="00A81C77">
      <w:r w:rsidRPr="00C530CC">
        <w:t>Signed on behalf o</w:t>
      </w:r>
      <w:r w:rsidR="00926469" w:rsidRPr="00C530CC">
        <w:t xml:space="preserve">f </w:t>
      </w:r>
      <w:r w:rsidRPr="00C530CC">
        <w:t>Head of Internal Audit</w:t>
      </w:r>
    </w:p>
    <w:p w14:paraId="6426BDBD" w14:textId="4FC09577" w:rsidR="00A81C77" w:rsidRPr="00F42E1E" w:rsidRDefault="00A81C77" w:rsidP="00A81C77">
      <w:pPr>
        <w:pStyle w:val="Heading2"/>
        <w:spacing w:after="240"/>
        <w:rPr>
          <w:rFonts w:ascii="Arial" w:hAnsi="Arial"/>
          <w:sz w:val="28"/>
        </w:rPr>
      </w:pPr>
      <w:r w:rsidRPr="00F42E1E">
        <w:rPr>
          <w:rFonts w:ascii="Arial" w:hAnsi="Arial"/>
          <w:sz w:val="28"/>
        </w:rPr>
        <w:t>Date:</w:t>
      </w:r>
      <w:r w:rsidR="00BD5031">
        <w:rPr>
          <w:rFonts w:ascii="Arial" w:hAnsi="Arial"/>
          <w:sz w:val="28"/>
        </w:rPr>
        <w:t xml:space="preserve"> 3</w:t>
      </w:r>
      <w:r w:rsidR="00BD5031" w:rsidRPr="00BD5031">
        <w:rPr>
          <w:rFonts w:ascii="Arial" w:hAnsi="Arial"/>
          <w:sz w:val="28"/>
          <w:vertAlign w:val="superscript"/>
        </w:rPr>
        <w:t>rd</w:t>
      </w:r>
      <w:r w:rsidR="00BD5031">
        <w:rPr>
          <w:rFonts w:ascii="Arial" w:hAnsi="Arial"/>
          <w:sz w:val="28"/>
        </w:rPr>
        <w:t xml:space="preserve"> July 2023</w:t>
      </w:r>
    </w:p>
    <w:p w14:paraId="3D49F259" w14:textId="77777777" w:rsidR="00A81C77" w:rsidRDefault="00A81C77" w:rsidP="00A81C77"/>
    <w:p w14:paraId="58E30F61" w14:textId="729EB908" w:rsidR="00A81C77" w:rsidRPr="00F42E1E" w:rsidRDefault="00A81C77" w:rsidP="00A81C77">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sidR="00343D68">
            <w:rPr>
              <w:rFonts w:ascii="MS Gothic" w:eastAsia="MS Gothic" w:hAnsi="MS Gothic" w:hint="eastAsia"/>
              <w:b/>
              <w:bCs/>
              <w:sz w:val="28"/>
            </w:rPr>
            <w:t>☒</w:t>
          </w:r>
        </w:sdtContent>
      </w:sdt>
      <w:r w:rsidRPr="005A6BCB">
        <w:rPr>
          <w:b/>
          <w:bCs/>
          <w:sz w:val="28"/>
        </w:rPr>
        <w:t xml:space="preserve">     </w:t>
      </w:r>
    </w:p>
    <w:p w14:paraId="19D1EE48" w14:textId="7795EBE6" w:rsidR="00A81C77" w:rsidRPr="00435B5D" w:rsidRDefault="00A81C77" w:rsidP="00A81C77">
      <w:pPr>
        <w:pStyle w:val="Heading2"/>
        <w:spacing w:before="480" w:after="240"/>
      </w:pPr>
      <w:r>
        <w:t>Mandatory Checks</w:t>
      </w:r>
    </w:p>
    <w:p w14:paraId="25AF052B" w14:textId="764F4468" w:rsidR="00A81C77" w:rsidRPr="00A406F3" w:rsidRDefault="00A81C77" w:rsidP="00A81C77">
      <w:pPr>
        <w:pStyle w:val="Heading3"/>
        <w:ind w:left="0" w:firstLine="0"/>
        <w:jc w:val="left"/>
      </w:pPr>
      <w:r w:rsidRPr="003313EA">
        <w:t xml:space="preserve">Ward Councillors </w:t>
      </w:r>
      <w:r>
        <w:t xml:space="preserve">notified:  </w:t>
      </w:r>
      <w:r w:rsidRPr="00A406F3">
        <w:t>NO</w:t>
      </w:r>
      <w:r w:rsidR="009C0655">
        <w:t xml:space="preserve"> </w:t>
      </w:r>
      <w:r w:rsidRPr="00333FAA">
        <w:t>as it impacts on all Wards</w:t>
      </w:r>
      <w:r w:rsidRPr="00A406F3">
        <w:t xml:space="preserve"> </w:t>
      </w:r>
    </w:p>
    <w:p w14:paraId="524B3B7C" w14:textId="57A7ED0A" w:rsidR="00A81C77" w:rsidRDefault="00A81C77" w:rsidP="00A81C77">
      <w:pPr>
        <w:pStyle w:val="Heading3"/>
        <w:spacing w:before="240"/>
      </w:pPr>
      <w:r w:rsidRPr="00202D79">
        <w:t>EqIA carried out:</w:t>
      </w:r>
      <w:r>
        <w:t xml:space="preserve">  </w:t>
      </w:r>
      <w:r w:rsidRPr="00202D79">
        <w:t>NO</w:t>
      </w:r>
    </w:p>
    <w:p w14:paraId="1C933F09" w14:textId="77777777" w:rsidR="009E343B" w:rsidRDefault="009E343B" w:rsidP="009E343B"/>
    <w:p w14:paraId="32ECDB79" w14:textId="6BF55FDB" w:rsidR="009E343B" w:rsidRPr="009E343B" w:rsidRDefault="009E343B" w:rsidP="005E158A">
      <w:r>
        <w:t>There are no equalities implicatio</w:t>
      </w:r>
      <w:r w:rsidR="00DC228B">
        <w:t xml:space="preserve">n to this </w:t>
      </w:r>
      <w:r w:rsidR="00C16C10">
        <w:t>decision</w:t>
      </w:r>
      <w:r w:rsidR="00DC228B">
        <w:t xml:space="preserve"> as covers all Wards and residents.</w:t>
      </w:r>
    </w:p>
    <w:p w14:paraId="2BFE1736" w14:textId="77777777" w:rsidR="00A81C77" w:rsidRDefault="00A81C77" w:rsidP="00A81C77">
      <w:pPr>
        <w:pStyle w:val="Heading2"/>
        <w:spacing w:before="480" w:after="240"/>
      </w:pPr>
      <w:r>
        <w:t>Section 4 - Contact Details and Background Papers</w:t>
      </w:r>
    </w:p>
    <w:p w14:paraId="3F04E85B" w14:textId="77777777" w:rsidR="001F4B44" w:rsidRDefault="00A81C77" w:rsidP="00A81C77">
      <w:pPr>
        <w:pStyle w:val="Infotext"/>
        <w:spacing w:after="240"/>
        <w:rPr>
          <w:b/>
        </w:rPr>
      </w:pPr>
      <w:r w:rsidRPr="004E47FC">
        <w:rPr>
          <w:b/>
        </w:rPr>
        <w:t xml:space="preserve">Contact:  </w:t>
      </w:r>
    </w:p>
    <w:p w14:paraId="4DCD37B3" w14:textId="38838CF3" w:rsidR="00A81C77" w:rsidRDefault="001F4B44" w:rsidP="00A81C77">
      <w:pPr>
        <w:pStyle w:val="Infotext"/>
        <w:spacing w:after="240"/>
        <w:rPr>
          <w:bCs/>
        </w:rPr>
      </w:pPr>
      <w:r w:rsidRPr="005E158A">
        <w:rPr>
          <w:bCs/>
        </w:rPr>
        <w:t xml:space="preserve">Dalton Cenac </w:t>
      </w:r>
      <w:r w:rsidR="00102D84" w:rsidRPr="005E158A">
        <w:rPr>
          <w:bCs/>
        </w:rPr>
        <w:t xml:space="preserve">/ </w:t>
      </w:r>
      <w:r w:rsidRPr="005E158A">
        <w:rPr>
          <w:bCs/>
        </w:rPr>
        <w:t xml:space="preserve">Interim Head of Traffic, Highways and Asset Management </w:t>
      </w:r>
      <w:hyperlink r:id="rId10" w:history="1">
        <w:r w:rsidR="00102D84" w:rsidRPr="005E158A">
          <w:rPr>
            <w:rStyle w:val="Hyperlink"/>
            <w:bCs/>
          </w:rPr>
          <w:t>dalton.cenac@harrow.gov.uk</w:t>
        </w:r>
      </w:hyperlink>
    </w:p>
    <w:p w14:paraId="26628E10" w14:textId="5F706057" w:rsidR="00102D84" w:rsidRPr="005E158A" w:rsidRDefault="00102D84" w:rsidP="00A81C77">
      <w:pPr>
        <w:pStyle w:val="Infotext"/>
        <w:spacing w:after="240"/>
        <w:rPr>
          <w:bCs/>
        </w:rPr>
      </w:pPr>
      <w:r>
        <w:rPr>
          <w:bCs/>
        </w:rPr>
        <w:t>Matthew Adams</w:t>
      </w:r>
      <w:r w:rsidR="000B30AB">
        <w:rPr>
          <w:bCs/>
        </w:rPr>
        <w:t xml:space="preserve"> / Assistant Director of Climate Change &amp; Nat</w:t>
      </w:r>
      <w:r w:rsidR="00E235B4">
        <w:rPr>
          <w:bCs/>
        </w:rPr>
        <w:t xml:space="preserve">ural Reserves </w:t>
      </w:r>
      <w:r w:rsidR="00E235B4" w:rsidRPr="005E158A">
        <w:rPr>
          <w:rStyle w:val="Hyperlink"/>
        </w:rPr>
        <w:t>matthew.adams@harrow.gov.uk</w:t>
      </w:r>
    </w:p>
    <w:p w14:paraId="41B4778E" w14:textId="4E96D599" w:rsidR="00A81C77" w:rsidRPr="00842757" w:rsidRDefault="00A81C77" w:rsidP="005E158A">
      <w:pPr>
        <w:pStyle w:val="Infotext"/>
        <w:spacing w:after="240"/>
        <w:rPr>
          <w:rFonts w:ascii="Calibri" w:hAnsi="Calibri"/>
          <w:szCs w:val="24"/>
          <w:lang w:eastAsia="en-GB"/>
        </w:rPr>
      </w:pPr>
      <w:r w:rsidRPr="004E47FC">
        <w:rPr>
          <w:b/>
        </w:rPr>
        <w:t xml:space="preserve">Background Papers: </w:t>
      </w:r>
      <w:r>
        <w:rPr>
          <w:b/>
        </w:rPr>
        <w:t xml:space="preserve"> </w:t>
      </w:r>
      <w:r w:rsidR="004624B8" w:rsidRPr="005E158A">
        <w:rPr>
          <w:bCs/>
        </w:rPr>
        <w:t>None</w:t>
      </w:r>
    </w:p>
    <w:p w14:paraId="435B668A" w14:textId="025D8A64" w:rsidR="00A81C77" w:rsidRPr="007C0DC3" w:rsidRDefault="00A81C77" w:rsidP="00A81C7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FB246C">
        <w:rPr>
          <w:rFonts w:ascii="Arial Black" w:hAnsi="Arial Black"/>
        </w:rPr>
        <w:t xml:space="preserve"> - NO</w:t>
      </w:r>
    </w:p>
    <w:p w14:paraId="70DABFC5" w14:textId="77777777" w:rsidR="00FB384F" w:rsidRDefault="00FB384F"/>
    <w:sectPr w:rsidR="00FB384F">
      <w:headerReference w:type="even" r:id="rId11"/>
      <w:headerReference w:type="default" r:id="rId12"/>
      <w:footerReference w:type="even" r:id="rId13"/>
      <w:foot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247D" w14:textId="77777777" w:rsidR="00F427BD" w:rsidRDefault="00F427BD">
      <w:r>
        <w:separator/>
      </w:r>
    </w:p>
  </w:endnote>
  <w:endnote w:type="continuationSeparator" w:id="0">
    <w:p w14:paraId="350BFEBD" w14:textId="77777777" w:rsidR="00F427BD" w:rsidRDefault="00F427BD">
      <w:r>
        <w:continuationSeparator/>
      </w:r>
    </w:p>
  </w:endnote>
  <w:endnote w:type="continuationNotice" w:id="1">
    <w:p w14:paraId="15A4EBAC" w14:textId="77777777" w:rsidR="00F427BD" w:rsidRDefault="00F42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6EDB" w14:textId="77777777" w:rsidR="007F6F91" w:rsidRDefault="007F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569E" w14:textId="77777777" w:rsidR="007F6F91" w:rsidRDefault="007F6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8A7" w14:textId="77777777" w:rsidR="007F6F91" w:rsidRDefault="007F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BAB" w14:textId="77777777" w:rsidR="00F427BD" w:rsidRDefault="00F427BD">
      <w:r>
        <w:separator/>
      </w:r>
    </w:p>
  </w:footnote>
  <w:footnote w:type="continuationSeparator" w:id="0">
    <w:p w14:paraId="67934C36" w14:textId="77777777" w:rsidR="00F427BD" w:rsidRDefault="00F427BD">
      <w:r>
        <w:continuationSeparator/>
      </w:r>
    </w:p>
  </w:footnote>
  <w:footnote w:type="continuationNotice" w:id="1">
    <w:p w14:paraId="54E6404B" w14:textId="77777777" w:rsidR="00F427BD" w:rsidRDefault="00F42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C66B" w14:textId="77777777" w:rsidR="007F6F91" w:rsidRDefault="007F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5B00" w14:textId="0A7B99CF" w:rsidR="007F6F91" w:rsidRDefault="007F6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62AE" w14:textId="77777777" w:rsidR="007F6F91" w:rsidRDefault="007F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83066D"/>
    <w:multiLevelType w:val="hybridMultilevel"/>
    <w:tmpl w:val="3FB0A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C45CF"/>
    <w:multiLevelType w:val="multilevel"/>
    <w:tmpl w:val="C4A2FDC2"/>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634CF"/>
    <w:multiLevelType w:val="hybridMultilevel"/>
    <w:tmpl w:val="33468E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F85320"/>
    <w:multiLevelType w:val="hybridMultilevel"/>
    <w:tmpl w:val="F7CAA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C0E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B71B81"/>
    <w:multiLevelType w:val="hybridMultilevel"/>
    <w:tmpl w:val="CE448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280AA1"/>
    <w:multiLevelType w:val="hybridMultilevel"/>
    <w:tmpl w:val="AFD87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87E5E3D"/>
    <w:multiLevelType w:val="hybridMultilevel"/>
    <w:tmpl w:val="BC56E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D73D19"/>
    <w:multiLevelType w:val="hybridMultilevel"/>
    <w:tmpl w:val="73ECA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F3DB2"/>
    <w:multiLevelType w:val="hybridMultilevel"/>
    <w:tmpl w:val="C174F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B1C62"/>
    <w:multiLevelType w:val="hybridMultilevel"/>
    <w:tmpl w:val="B4DCE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561FFF"/>
    <w:multiLevelType w:val="hybridMultilevel"/>
    <w:tmpl w:val="241E0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770342">
    <w:abstractNumId w:val="3"/>
  </w:num>
  <w:num w:numId="2" w16cid:durableId="1618678037">
    <w:abstractNumId w:val="6"/>
  </w:num>
  <w:num w:numId="3" w16cid:durableId="1958633995">
    <w:abstractNumId w:val="0"/>
  </w:num>
  <w:num w:numId="4" w16cid:durableId="345401872">
    <w:abstractNumId w:val="15"/>
  </w:num>
  <w:num w:numId="5" w16cid:durableId="664934989">
    <w:abstractNumId w:val="11"/>
  </w:num>
  <w:num w:numId="6" w16cid:durableId="1007948464">
    <w:abstractNumId w:val="10"/>
  </w:num>
  <w:num w:numId="7" w16cid:durableId="2105757417">
    <w:abstractNumId w:val="16"/>
  </w:num>
  <w:num w:numId="8" w16cid:durableId="1298416620">
    <w:abstractNumId w:val="4"/>
  </w:num>
  <w:num w:numId="9" w16cid:durableId="744570792">
    <w:abstractNumId w:val="4"/>
  </w:num>
  <w:num w:numId="10" w16cid:durableId="1287395171">
    <w:abstractNumId w:val="14"/>
  </w:num>
  <w:num w:numId="11" w16cid:durableId="13727004">
    <w:abstractNumId w:val="17"/>
  </w:num>
  <w:num w:numId="12" w16cid:durableId="535043133">
    <w:abstractNumId w:val="5"/>
  </w:num>
  <w:num w:numId="13" w16cid:durableId="1861813198">
    <w:abstractNumId w:val="7"/>
  </w:num>
  <w:num w:numId="14" w16cid:durableId="1355309153">
    <w:abstractNumId w:val="1"/>
  </w:num>
  <w:num w:numId="15" w16cid:durableId="2100519527">
    <w:abstractNumId w:val="9"/>
  </w:num>
  <w:num w:numId="16" w16cid:durableId="1957638075">
    <w:abstractNumId w:val="8"/>
  </w:num>
  <w:num w:numId="17" w16cid:durableId="1738936032">
    <w:abstractNumId w:val="13"/>
  </w:num>
  <w:num w:numId="18" w16cid:durableId="144247838">
    <w:abstractNumId w:val="12"/>
  </w:num>
  <w:num w:numId="19" w16cid:durableId="1145199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178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77"/>
    <w:rsid w:val="00000DDB"/>
    <w:rsid w:val="00006BF1"/>
    <w:rsid w:val="00007331"/>
    <w:rsid w:val="00007337"/>
    <w:rsid w:val="0001016B"/>
    <w:rsid w:val="00012D8B"/>
    <w:rsid w:val="00014B79"/>
    <w:rsid w:val="00015472"/>
    <w:rsid w:val="00017EA0"/>
    <w:rsid w:val="00025A17"/>
    <w:rsid w:val="00030449"/>
    <w:rsid w:val="00040325"/>
    <w:rsid w:val="00042CE4"/>
    <w:rsid w:val="00042ECD"/>
    <w:rsid w:val="00046199"/>
    <w:rsid w:val="00050264"/>
    <w:rsid w:val="00061578"/>
    <w:rsid w:val="0006175C"/>
    <w:rsid w:val="000625F8"/>
    <w:rsid w:val="00062F6D"/>
    <w:rsid w:val="00063FD2"/>
    <w:rsid w:val="000703FB"/>
    <w:rsid w:val="00073027"/>
    <w:rsid w:val="00076ADD"/>
    <w:rsid w:val="00077956"/>
    <w:rsid w:val="00077E9A"/>
    <w:rsid w:val="000826E9"/>
    <w:rsid w:val="00083410"/>
    <w:rsid w:val="00083A4D"/>
    <w:rsid w:val="00090023"/>
    <w:rsid w:val="0009031F"/>
    <w:rsid w:val="0009570D"/>
    <w:rsid w:val="00096C61"/>
    <w:rsid w:val="000A0FBC"/>
    <w:rsid w:val="000A30A5"/>
    <w:rsid w:val="000A3C31"/>
    <w:rsid w:val="000B23F9"/>
    <w:rsid w:val="000B30AB"/>
    <w:rsid w:val="000B3891"/>
    <w:rsid w:val="000B4E24"/>
    <w:rsid w:val="000C03D5"/>
    <w:rsid w:val="000C3A39"/>
    <w:rsid w:val="000C3B57"/>
    <w:rsid w:val="000C648B"/>
    <w:rsid w:val="000C7966"/>
    <w:rsid w:val="000F3C1F"/>
    <w:rsid w:val="000F4FC1"/>
    <w:rsid w:val="00100754"/>
    <w:rsid w:val="00102D84"/>
    <w:rsid w:val="00104CAA"/>
    <w:rsid w:val="001058BD"/>
    <w:rsid w:val="00115BB6"/>
    <w:rsid w:val="001211F0"/>
    <w:rsid w:val="00121F15"/>
    <w:rsid w:val="00123919"/>
    <w:rsid w:val="001246EE"/>
    <w:rsid w:val="00124DA1"/>
    <w:rsid w:val="00127AC6"/>
    <w:rsid w:val="00127C7C"/>
    <w:rsid w:val="0013050A"/>
    <w:rsid w:val="0013335D"/>
    <w:rsid w:val="00135581"/>
    <w:rsid w:val="001365F4"/>
    <w:rsid w:val="00136ADC"/>
    <w:rsid w:val="00141E4C"/>
    <w:rsid w:val="001439F4"/>
    <w:rsid w:val="001454CD"/>
    <w:rsid w:val="00150C08"/>
    <w:rsid w:val="00151F4D"/>
    <w:rsid w:val="0015350F"/>
    <w:rsid w:val="001579EC"/>
    <w:rsid w:val="00160257"/>
    <w:rsid w:val="001635AB"/>
    <w:rsid w:val="00167F96"/>
    <w:rsid w:val="0017227E"/>
    <w:rsid w:val="001740D3"/>
    <w:rsid w:val="00180DCB"/>
    <w:rsid w:val="0018222B"/>
    <w:rsid w:val="00182660"/>
    <w:rsid w:val="001861F5"/>
    <w:rsid w:val="001A0D5C"/>
    <w:rsid w:val="001A243B"/>
    <w:rsid w:val="001B07AB"/>
    <w:rsid w:val="001B4420"/>
    <w:rsid w:val="001B4FC0"/>
    <w:rsid w:val="001B730B"/>
    <w:rsid w:val="001C15D1"/>
    <w:rsid w:val="001C3555"/>
    <w:rsid w:val="001C35F0"/>
    <w:rsid w:val="001C6A1A"/>
    <w:rsid w:val="001C6B5F"/>
    <w:rsid w:val="001C710F"/>
    <w:rsid w:val="001C7795"/>
    <w:rsid w:val="001D01C7"/>
    <w:rsid w:val="001D1C3C"/>
    <w:rsid w:val="001D73F7"/>
    <w:rsid w:val="001E2920"/>
    <w:rsid w:val="001E2A1C"/>
    <w:rsid w:val="001E5771"/>
    <w:rsid w:val="001F4B44"/>
    <w:rsid w:val="001F4F71"/>
    <w:rsid w:val="001F548D"/>
    <w:rsid w:val="001F5E34"/>
    <w:rsid w:val="001F646A"/>
    <w:rsid w:val="001F6C75"/>
    <w:rsid w:val="001F70B1"/>
    <w:rsid w:val="00201836"/>
    <w:rsid w:val="0020318B"/>
    <w:rsid w:val="00205BD1"/>
    <w:rsid w:val="0020718F"/>
    <w:rsid w:val="002109B5"/>
    <w:rsid w:val="00211441"/>
    <w:rsid w:val="00214742"/>
    <w:rsid w:val="00217143"/>
    <w:rsid w:val="0022476B"/>
    <w:rsid w:val="00225CC3"/>
    <w:rsid w:val="00226B85"/>
    <w:rsid w:val="002340FA"/>
    <w:rsid w:val="00236324"/>
    <w:rsid w:val="00244D01"/>
    <w:rsid w:val="002467AE"/>
    <w:rsid w:val="00246DF7"/>
    <w:rsid w:val="002506D9"/>
    <w:rsid w:val="00252CF0"/>
    <w:rsid w:val="00253881"/>
    <w:rsid w:val="00255987"/>
    <w:rsid w:val="00261481"/>
    <w:rsid w:val="002617A3"/>
    <w:rsid w:val="00262840"/>
    <w:rsid w:val="00265D29"/>
    <w:rsid w:val="0026600C"/>
    <w:rsid w:val="00267176"/>
    <w:rsid w:val="00267A59"/>
    <w:rsid w:val="00267E8E"/>
    <w:rsid w:val="00276E0B"/>
    <w:rsid w:val="002778DE"/>
    <w:rsid w:val="002823DA"/>
    <w:rsid w:val="00285CAB"/>
    <w:rsid w:val="00286097"/>
    <w:rsid w:val="0029537B"/>
    <w:rsid w:val="002A1D3C"/>
    <w:rsid w:val="002A3960"/>
    <w:rsid w:val="002A3DA1"/>
    <w:rsid w:val="002A5227"/>
    <w:rsid w:val="002A78A6"/>
    <w:rsid w:val="002B3785"/>
    <w:rsid w:val="002B4905"/>
    <w:rsid w:val="002B52A3"/>
    <w:rsid w:val="002B6834"/>
    <w:rsid w:val="002B6AF6"/>
    <w:rsid w:val="002C2D3F"/>
    <w:rsid w:val="002C3281"/>
    <w:rsid w:val="002C5624"/>
    <w:rsid w:val="002D4A9D"/>
    <w:rsid w:val="002D4AA1"/>
    <w:rsid w:val="002E14AB"/>
    <w:rsid w:val="002E2110"/>
    <w:rsid w:val="002E39F2"/>
    <w:rsid w:val="002E4BE3"/>
    <w:rsid w:val="002F2D3E"/>
    <w:rsid w:val="00310A87"/>
    <w:rsid w:val="00315D5C"/>
    <w:rsid w:val="00316A37"/>
    <w:rsid w:val="00316C87"/>
    <w:rsid w:val="00317314"/>
    <w:rsid w:val="00320482"/>
    <w:rsid w:val="00327227"/>
    <w:rsid w:val="00332C14"/>
    <w:rsid w:val="0033684C"/>
    <w:rsid w:val="0034129E"/>
    <w:rsid w:val="00343D68"/>
    <w:rsid w:val="00347F5C"/>
    <w:rsid w:val="00350B33"/>
    <w:rsid w:val="00351F1E"/>
    <w:rsid w:val="003522A0"/>
    <w:rsid w:val="00353476"/>
    <w:rsid w:val="00353F58"/>
    <w:rsid w:val="00355137"/>
    <w:rsid w:val="00355B06"/>
    <w:rsid w:val="003612F1"/>
    <w:rsid w:val="00364635"/>
    <w:rsid w:val="00373180"/>
    <w:rsid w:val="00375EDE"/>
    <w:rsid w:val="00375FE1"/>
    <w:rsid w:val="003836DA"/>
    <w:rsid w:val="00391BC8"/>
    <w:rsid w:val="003A1348"/>
    <w:rsid w:val="003A1511"/>
    <w:rsid w:val="003A43DC"/>
    <w:rsid w:val="003A7E36"/>
    <w:rsid w:val="003B4001"/>
    <w:rsid w:val="003B6029"/>
    <w:rsid w:val="003C08E2"/>
    <w:rsid w:val="003C4225"/>
    <w:rsid w:val="003C7742"/>
    <w:rsid w:val="003D0497"/>
    <w:rsid w:val="003D1503"/>
    <w:rsid w:val="003D69ED"/>
    <w:rsid w:val="003D7093"/>
    <w:rsid w:val="003D74D1"/>
    <w:rsid w:val="003E036D"/>
    <w:rsid w:val="003E46FC"/>
    <w:rsid w:val="003E734C"/>
    <w:rsid w:val="003F0F2E"/>
    <w:rsid w:val="003F6D8C"/>
    <w:rsid w:val="00404428"/>
    <w:rsid w:val="00405EBD"/>
    <w:rsid w:val="00406488"/>
    <w:rsid w:val="004076B3"/>
    <w:rsid w:val="00412A27"/>
    <w:rsid w:val="00414D8C"/>
    <w:rsid w:val="00414DF3"/>
    <w:rsid w:val="004170D9"/>
    <w:rsid w:val="00421B44"/>
    <w:rsid w:val="00421EF2"/>
    <w:rsid w:val="00424DC0"/>
    <w:rsid w:val="00431A54"/>
    <w:rsid w:val="0044190D"/>
    <w:rsid w:val="00441D2D"/>
    <w:rsid w:val="00442BDB"/>
    <w:rsid w:val="004432D2"/>
    <w:rsid w:val="0044744F"/>
    <w:rsid w:val="00450CC3"/>
    <w:rsid w:val="00451AB2"/>
    <w:rsid w:val="00452D32"/>
    <w:rsid w:val="00455E76"/>
    <w:rsid w:val="00456B60"/>
    <w:rsid w:val="00461D13"/>
    <w:rsid w:val="004624B8"/>
    <w:rsid w:val="00462628"/>
    <w:rsid w:val="00464219"/>
    <w:rsid w:val="00464E37"/>
    <w:rsid w:val="00465667"/>
    <w:rsid w:val="004700A6"/>
    <w:rsid w:val="00471917"/>
    <w:rsid w:val="004740B4"/>
    <w:rsid w:val="004759BA"/>
    <w:rsid w:val="00476713"/>
    <w:rsid w:val="00483B04"/>
    <w:rsid w:val="00486648"/>
    <w:rsid w:val="004906EC"/>
    <w:rsid w:val="00492B78"/>
    <w:rsid w:val="0049465B"/>
    <w:rsid w:val="004960A9"/>
    <w:rsid w:val="004A15AE"/>
    <w:rsid w:val="004A2244"/>
    <w:rsid w:val="004A3F80"/>
    <w:rsid w:val="004A5234"/>
    <w:rsid w:val="004B213C"/>
    <w:rsid w:val="004C05D4"/>
    <w:rsid w:val="004C0C72"/>
    <w:rsid w:val="004C1B97"/>
    <w:rsid w:val="004C2EBE"/>
    <w:rsid w:val="004C32EE"/>
    <w:rsid w:val="004D3095"/>
    <w:rsid w:val="004D3131"/>
    <w:rsid w:val="004D63B0"/>
    <w:rsid w:val="004D6715"/>
    <w:rsid w:val="004E00FB"/>
    <w:rsid w:val="004E10E7"/>
    <w:rsid w:val="004E2520"/>
    <w:rsid w:val="004E2C37"/>
    <w:rsid w:val="004E4399"/>
    <w:rsid w:val="004E5000"/>
    <w:rsid w:val="004E64D9"/>
    <w:rsid w:val="004E69A5"/>
    <w:rsid w:val="004E7C30"/>
    <w:rsid w:val="004F1881"/>
    <w:rsid w:val="004F1C04"/>
    <w:rsid w:val="004F6B08"/>
    <w:rsid w:val="004F726D"/>
    <w:rsid w:val="00501582"/>
    <w:rsid w:val="005055EC"/>
    <w:rsid w:val="00507E12"/>
    <w:rsid w:val="00515445"/>
    <w:rsid w:val="00516FE3"/>
    <w:rsid w:val="00520395"/>
    <w:rsid w:val="005313E2"/>
    <w:rsid w:val="0054084B"/>
    <w:rsid w:val="005465C0"/>
    <w:rsid w:val="00552DAE"/>
    <w:rsid w:val="0055358E"/>
    <w:rsid w:val="00553B39"/>
    <w:rsid w:val="00554F2B"/>
    <w:rsid w:val="00562EE9"/>
    <w:rsid w:val="00564FDA"/>
    <w:rsid w:val="005720F2"/>
    <w:rsid w:val="00577C11"/>
    <w:rsid w:val="0058201C"/>
    <w:rsid w:val="005827F8"/>
    <w:rsid w:val="00584B6A"/>
    <w:rsid w:val="005914A6"/>
    <w:rsid w:val="00592011"/>
    <w:rsid w:val="00593921"/>
    <w:rsid w:val="00594EE3"/>
    <w:rsid w:val="005957F0"/>
    <w:rsid w:val="00596848"/>
    <w:rsid w:val="005A3BC1"/>
    <w:rsid w:val="005A508E"/>
    <w:rsid w:val="005A69D8"/>
    <w:rsid w:val="005B2B88"/>
    <w:rsid w:val="005B39A0"/>
    <w:rsid w:val="005B7AFB"/>
    <w:rsid w:val="005D007B"/>
    <w:rsid w:val="005D223A"/>
    <w:rsid w:val="005E158A"/>
    <w:rsid w:val="005E1606"/>
    <w:rsid w:val="005E52F9"/>
    <w:rsid w:val="005E5F37"/>
    <w:rsid w:val="005E79E0"/>
    <w:rsid w:val="005E7E9D"/>
    <w:rsid w:val="005F0044"/>
    <w:rsid w:val="005F42CB"/>
    <w:rsid w:val="005F5A56"/>
    <w:rsid w:val="006000C3"/>
    <w:rsid w:val="00601F3E"/>
    <w:rsid w:val="00602ED7"/>
    <w:rsid w:val="006053A8"/>
    <w:rsid w:val="006078D9"/>
    <w:rsid w:val="00607F33"/>
    <w:rsid w:val="006106F7"/>
    <w:rsid w:val="00612CF4"/>
    <w:rsid w:val="006151C7"/>
    <w:rsid w:val="0061557E"/>
    <w:rsid w:val="00620735"/>
    <w:rsid w:val="0063542C"/>
    <w:rsid w:val="0063554B"/>
    <w:rsid w:val="00635A91"/>
    <w:rsid w:val="006376AD"/>
    <w:rsid w:val="00637AA8"/>
    <w:rsid w:val="00641EC3"/>
    <w:rsid w:val="00642419"/>
    <w:rsid w:val="006429A1"/>
    <w:rsid w:val="00642EC1"/>
    <w:rsid w:val="00643104"/>
    <w:rsid w:val="0064372F"/>
    <w:rsid w:val="006457D6"/>
    <w:rsid w:val="00645A82"/>
    <w:rsid w:val="00653418"/>
    <w:rsid w:val="00653CF7"/>
    <w:rsid w:val="0065512A"/>
    <w:rsid w:val="006557FC"/>
    <w:rsid w:val="00660D9A"/>
    <w:rsid w:val="006611C7"/>
    <w:rsid w:val="006622A3"/>
    <w:rsid w:val="006678A4"/>
    <w:rsid w:val="00667CCF"/>
    <w:rsid w:val="006811A2"/>
    <w:rsid w:val="0068305C"/>
    <w:rsid w:val="00683811"/>
    <w:rsid w:val="00684C6B"/>
    <w:rsid w:val="00685152"/>
    <w:rsid w:val="006914DD"/>
    <w:rsid w:val="006917ED"/>
    <w:rsid w:val="00694366"/>
    <w:rsid w:val="006974AF"/>
    <w:rsid w:val="006A1679"/>
    <w:rsid w:val="006A228F"/>
    <w:rsid w:val="006A32E6"/>
    <w:rsid w:val="006A557A"/>
    <w:rsid w:val="006A7674"/>
    <w:rsid w:val="006B2EAC"/>
    <w:rsid w:val="006B7C25"/>
    <w:rsid w:val="006C7127"/>
    <w:rsid w:val="006C7A53"/>
    <w:rsid w:val="006D132D"/>
    <w:rsid w:val="006D1DE6"/>
    <w:rsid w:val="006D2B6D"/>
    <w:rsid w:val="006E4A75"/>
    <w:rsid w:val="006E6E85"/>
    <w:rsid w:val="006E70A8"/>
    <w:rsid w:val="006F0438"/>
    <w:rsid w:val="006F093E"/>
    <w:rsid w:val="006F3A00"/>
    <w:rsid w:val="006F40CB"/>
    <w:rsid w:val="006F5362"/>
    <w:rsid w:val="006F6D83"/>
    <w:rsid w:val="00704196"/>
    <w:rsid w:val="00704A92"/>
    <w:rsid w:val="007140F5"/>
    <w:rsid w:val="00716616"/>
    <w:rsid w:val="00720ED7"/>
    <w:rsid w:val="007228DD"/>
    <w:rsid w:val="00722F46"/>
    <w:rsid w:val="007231DB"/>
    <w:rsid w:val="00723AB2"/>
    <w:rsid w:val="007245BE"/>
    <w:rsid w:val="0072486B"/>
    <w:rsid w:val="0072595A"/>
    <w:rsid w:val="007270F1"/>
    <w:rsid w:val="00734976"/>
    <w:rsid w:val="00735340"/>
    <w:rsid w:val="00744516"/>
    <w:rsid w:val="00744623"/>
    <w:rsid w:val="0074634B"/>
    <w:rsid w:val="007468BC"/>
    <w:rsid w:val="00757416"/>
    <w:rsid w:val="007576D5"/>
    <w:rsid w:val="00762004"/>
    <w:rsid w:val="00762AE9"/>
    <w:rsid w:val="00766949"/>
    <w:rsid w:val="00771F56"/>
    <w:rsid w:val="00772D41"/>
    <w:rsid w:val="0077694C"/>
    <w:rsid w:val="007812BE"/>
    <w:rsid w:val="007820A2"/>
    <w:rsid w:val="0078259F"/>
    <w:rsid w:val="007826A1"/>
    <w:rsid w:val="007845FE"/>
    <w:rsid w:val="007870D0"/>
    <w:rsid w:val="007937B5"/>
    <w:rsid w:val="00794757"/>
    <w:rsid w:val="007A170B"/>
    <w:rsid w:val="007A2F13"/>
    <w:rsid w:val="007A50A0"/>
    <w:rsid w:val="007A75DC"/>
    <w:rsid w:val="007B68E0"/>
    <w:rsid w:val="007C18D5"/>
    <w:rsid w:val="007C4AFE"/>
    <w:rsid w:val="007C70D5"/>
    <w:rsid w:val="007C75B4"/>
    <w:rsid w:val="007D0868"/>
    <w:rsid w:val="007D4595"/>
    <w:rsid w:val="007D75E8"/>
    <w:rsid w:val="007D7DE0"/>
    <w:rsid w:val="007D7F3E"/>
    <w:rsid w:val="007E0710"/>
    <w:rsid w:val="007E107D"/>
    <w:rsid w:val="007E14A3"/>
    <w:rsid w:val="007E22D8"/>
    <w:rsid w:val="007E3EB9"/>
    <w:rsid w:val="007E48A6"/>
    <w:rsid w:val="007E4E82"/>
    <w:rsid w:val="007E67A1"/>
    <w:rsid w:val="007F1A48"/>
    <w:rsid w:val="007F29C2"/>
    <w:rsid w:val="007F2B9C"/>
    <w:rsid w:val="007F6F91"/>
    <w:rsid w:val="007F70CF"/>
    <w:rsid w:val="008013FC"/>
    <w:rsid w:val="008037C8"/>
    <w:rsid w:val="008055D6"/>
    <w:rsid w:val="0081214B"/>
    <w:rsid w:val="00814283"/>
    <w:rsid w:val="008168F8"/>
    <w:rsid w:val="00816C13"/>
    <w:rsid w:val="00820A7D"/>
    <w:rsid w:val="00820F4A"/>
    <w:rsid w:val="00823326"/>
    <w:rsid w:val="00823EF8"/>
    <w:rsid w:val="00826999"/>
    <w:rsid w:val="008275A5"/>
    <w:rsid w:val="00832F23"/>
    <w:rsid w:val="008351B0"/>
    <w:rsid w:val="00842464"/>
    <w:rsid w:val="008465D7"/>
    <w:rsid w:val="0084673E"/>
    <w:rsid w:val="0084785E"/>
    <w:rsid w:val="008503EC"/>
    <w:rsid w:val="00856F20"/>
    <w:rsid w:val="00860239"/>
    <w:rsid w:val="00864691"/>
    <w:rsid w:val="00864C0D"/>
    <w:rsid w:val="00865458"/>
    <w:rsid w:val="00873C29"/>
    <w:rsid w:val="0088066C"/>
    <w:rsid w:val="008824F3"/>
    <w:rsid w:val="0088350A"/>
    <w:rsid w:val="00884564"/>
    <w:rsid w:val="0088502F"/>
    <w:rsid w:val="00886A93"/>
    <w:rsid w:val="0089080A"/>
    <w:rsid w:val="00890E76"/>
    <w:rsid w:val="00891397"/>
    <w:rsid w:val="00891F83"/>
    <w:rsid w:val="008942DF"/>
    <w:rsid w:val="00894CA4"/>
    <w:rsid w:val="0089614B"/>
    <w:rsid w:val="0089632D"/>
    <w:rsid w:val="008A309A"/>
    <w:rsid w:val="008A3A4E"/>
    <w:rsid w:val="008A429F"/>
    <w:rsid w:val="008A5429"/>
    <w:rsid w:val="008A581D"/>
    <w:rsid w:val="008B1999"/>
    <w:rsid w:val="008B4EB8"/>
    <w:rsid w:val="008C50AD"/>
    <w:rsid w:val="008D0991"/>
    <w:rsid w:val="008D4092"/>
    <w:rsid w:val="008D664F"/>
    <w:rsid w:val="008D68A2"/>
    <w:rsid w:val="008D6E24"/>
    <w:rsid w:val="008E4C22"/>
    <w:rsid w:val="008E54D6"/>
    <w:rsid w:val="008E5802"/>
    <w:rsid w:val="008F3533"/>
    <w:rsid w:val="008F36CF"/>
    <w:rsid w:val="009064BA"/>
    <w:rsid w:val="00911270"/>
    <w:rsid w:val="009216CA"/>
    <w:rsid w:val="00923F7D"/>
    <w:rsid w:val="00924470"/>
    <w:rsid w:val="00924DC3"/>
    <w:rsid w:val="00926469"/>
    <w:rsid w:val="00933F54"/>
    <w:rsid w:val="0093612A"/>
    <w:rsid w:val="0093638F"/>
    <w:rsid w:val="00937692"/>
    <w:rsid w:val="00937EF2"/>
    <w:rsid w:val="00944616"/>
    <w:rsid w:val="009473BC"/>
    <w:rsid w:val="0095157C"/>
    <w:rsid w:val="009526FD"/>
    <w:rsid w:val="00953C5D"/>
    <w:rsid w:val="0096359E"/>
    <w:rsid w:val="00964A62"/>
    <w:rsid w:val="00964B82"/>
    <w:rsid w:val="009658F0"/>
    <w:rsid w:val="009711C4"/>
    <w:rsid w:val="0098231B"/>
    <w:rsid w:val="009846D2"/>
    <w:rsid w:val="00985E46"/>
    <w:rsid w:val="00994CAF"/>
    <w:rsid w:val="00995564"/>
    <w:rsid w:val="00996D2A"/>
    <w:rsid w:val="009A004D"/>
    <w:rsid w:val="009A0F57"/>
    <w:rsid w:val="009A135B"/>
    <w:rsid w:val="009A4AF1"/>
    <w:rsid w:val="009B52AA"/>
    <w:rsid w:val="009B6068"/>
    <w:rsid w:val="009C0127"/>
    <w:rsid w:val="009C0655"/>
    <w:rsid w:val="009C20C9"/>
    <w:rsid w:val="009C4B70"/>
    <w:rsid w:val="009C5E7D"/>
    <w:rsid w:val="009C5EA7"/>
    <w:rsid w:val="009C6C55"/>
    <w:rsid w:val="009D0EB9"/>
    <w:rsid w:val="009E343B"/>
    <w:rsid w:val="009E4159"/>
    <w:rsid w:val="009E56B9"/>
    <w:rsid w:val="009E7EB5"/>
    <w:rsid w:val="00A04222"/>
    <w:rsid w:val="00A05DFD"/>
    <w:rsid w:val="00A14BBA"/>
    <w:rsid w:val="00A1597E"/>
    <w:rsid w:val="00A20F48"/>
    <w:rsid w:val="00A2188E"/>
    <w:rsid w:val="00A265D5"/>
    <w:rsid w:val="00A27F1D"/>
    <w:rsid w:val="00A3286C"/>
    <w:rsid w:val="00A32A33"/>
    <w:rsid w:val="00A32B85"/>
    <w:rsid w:val="00A34A38"/>
    <w:rsid w:val="00A356C7"/>
    <w:rsid w:val="00A408D4"/>
    <w:rsid w:val="00A408E8"/>
    <w:rsid w:val="00A41022"/>
    <w:rsid w:val="00A50D5F"/>
    <w:rsid w:val="00A57E42"/>
    <w:rsid w:val="00A610E2"/>
    <w:rsid w:val="00A61AD3"/>
    <w:rsid w:val="00A638FC"/>
    <w:rsid w:val="00A65671"/>
    <w:rsid w:val="00A658BC"/>
    <w:rsid w:val="00A707D3"/>
    <w:rsid w:val="00A709DE"/>
    <w:rsid w:val="00A712AF"/>
    <w:rsid w:val="00A72D70"/>
    <w:rsid w:val="00A73F4C"/>
    <w:rsid w:val="00A76FFB"/>
    <w:rsid w:val="00A81625"/>
    <w:rsid w:val="00A81C77"/>
    <w:rsid w:val="00A84DCD"/>
    <w:rsid w:val="00A87DCA"/>
    <w:rsid w:val="00A91B8B"/>
    <w:rsid w:val="00A92B64"/>
    <w:rsid w:val="00A9554E"/>
    <w:rsid w:val="00AA2088"/>
    <w:rsid w:val="00AA434A"/>
    <w:rsid w:val="00AB27BA"/>
    <w:rsid w:val="00AB3854"/>
    <w:rsid w:val="00AC1D5B"/>
    <w:rsid w:val="00AC36F8"/>
    <w:rsid w:val="00AC438C"/>
    <w:rsid w:val="00AC51A8"/>
    <w:rsid w:val="00AD0243"/>
    <w:rsid w:val="00AD7C3C"/>
    <w:rsid w:val="00AE2075"/>
    <w:rsid w:val="00AE497F"/>
    <w:rsid w:val="00AE58FD"/>
    <w:rsid w:val="00AF0087"/>
    <w:rsid w:val="00AF1BA2"/>
    <w:rsid w:val="00AF4B04"/>
    <w:rsid w:val="00AF5B13"/>
    <w:rsid w:val="00AF5F6D"/>
    <w:rsid w:val="00AF6916"/>
    <w:rsid w:val="00B01EBB"/>
    <w:rsid w:val="00B03C6D"/>
    <w:rsid w:val="00B07AA2"/>
    <w:rsid w:val="00B13C83"/>
    <w:rsid w:val="00B14A17"/>
    <w:rsid w:val="00B155EF"/>
    <w:rsid w:val="00B1789A"/>
    <w:rsid w:val="00B239B8"/>
    <w:rsid w:val="00B279D6"/>
    <w:rsid w:val="00B35E9E"/>
    <w:rsid w:val="00B3701E"/>
    <w:rsid w:val="00B4125E"/>
    <w:rsid w:val="00B429A5"/>
    <w:rsid w:val="00B4368A"/>
    <w:rsid w:val="00B44A41"/>
    <w:rsid w:val="00B45F81"/>
    <w:rsid w:val="00B5280B"/>
    <w:rsid w:val="00B55F26"/>
    <w:rsid w:val="00B57723"/>
    <w:rsid w:val="00B64121"/>
    <w:rsid w:val="00B70DFB"/>
    <w:rsid w:val="00B751A2"/>
    <w:rsid w:val="00B75900"/>
    <w:rsid w:val="00B7690F"/>
    <w:rsid w:val="00B81C7C"/>
    <w:rsid w:val="00B81D33"/>
    <w:rsid w:val="00B83CF7"/>
    <w:rsid w:val="00B86041"/>
    <w:rsid w:val="00B90FDC"/>
    <w:rsid w:val="00B93686"/>
    <w:rsid w:val="00B941B2"/>
    <w:rsid w:val="00B942DA"/>
    <w:rsid w:val="00B9702C"/>
    <w:rsid w:val="00BA4ABD"/>
    <w:rsid w:val="00BA4D49"/>
    <w:rsid w:val="00BA566B"/>
    <w:rsid w:val="00BA659E"/>
    <w:rsid w:val="00BA6C24"/>
    <w:rsid w:val="00BA6F8A"/>
    <w:rsid w:val="00BB3609"/>
    <w:rsid w:val="00BB7481"/>
    <w:rsid w:val="00BC09DF"/>
    <w:rsid w:val="00BC0FFB"/>
    <w:rsid w:val="00BC749A"/>
    <w:rsid w:val="00BD3B61"/>
    <w:rsid w:val="00BD48F7"/>
    <w:rsid w:val="00BD5031"/>
    <w:rsid w:val="00BE5723"/>
    <w:rsid w:val="00BF1E79"/>
    <w:rsid w:val="00BF5169"/>
    <w:rsid w:val="00BF5550"/>
    <w:rsid w:val="00BF7D7A"/>
    <w:rsid w:val="00C00F67"/>
    <w:rsid w:val="00C02EC6"/>
    <w:rsid w:val="00C02FF6"/>
    <w:rsid w:val="00C041F4"/>
    <w:rsid w:val="00C047AB"/>
    <w:rsid w:val="00C0659F"/>
    <w:rsid w:val="00C118F9"/>
    <w:rsid w:val="00C146F9"/>
    <w:rsid w:val="00C16C10"/>
    <w:rsid w:val="00C16D19"/>
    <w:rsid w:val="00C25425"/>
    <w:rsid w:val="00C30EA0"/>
    <w:rsid w:val="00C312BC"/>
    <w:rsid w:val="00C344FB"/>
    <w:rsid w:val="00C36F52"/>
    <w:rsid w:val="00C42EA7"/>
    <w:rsid w:val="00C463B3"/>
    <w:rsid w:val="00C520F1"/>
    <w:rsid w:val="00C530CC"/>
    <w:rsid w:val="00C60078"/>
    <w:rsid w:val="00C60FE7"/>
    <w:rsid w:val="00C631C5"/>
    <w:rsid w:val="00C6363D"/>
    <w:rsid w:val="00C63824"/>
    <w:rsid w:val="00C70B78"/>
    <w:rsid w:val="00C7735F"/>
    <w:rsid w:val="00C8327E"/>
    <w:rsid w:val="00C842D4"/>
    <w:rsid w:val="00C92872"/>
    <w:rsid w:val="00C92AFD"/>
    <w:rsid w:val="00C95B97"/>
    <w:rsid w:val="00C95DF1"/>
    <w:rsid w:val="00C95FB2"/>
    <w:rsid w:val="00C96FB9"/>
    <w:rsid w:val="00CA2973"/>
    <w:rsid w:val="00CB7925"/>
    <w:rsid w:val="00CC0C46"/>
    <w:rsid w:val="00CC228B"/>
    <w:rsid w:val="00CC3323"/>
    <w:rsid w:val="00CC665F"/>
    <w:rsid w:val="00CC67F7"/>
    <w:rsid w:val="00CD1461"/>
    <w:rsid w:val="00CD1D4A"/>
    <w:rsid w:val="00CD446D"/>
    <w:rsid w:val="00CD4543"/>
    <w:rsid w:val="00CD5E53"/>
    <w:rsid w:val="00CD6276"/>
    <w:rsid w:val="00CE255C"/>
    <w:rsid w:val="00CE2EE4"/>
    <w:rsid w:val="00CE3FEB"/>
    <w:rsid w:val="00CE424F"/>
    <w:rsid w:val="00CE701D"/>
    <w:rsid w:val="00CF06E8"/>
    <w:rsid w:val="00CF2F8A"/>
    <w:rsid w:val="00CF4331"/>
    <w:rsid w:val="00CF5449"/>
    <w:rsid w:val="00D012C6"/>
    <w:rsid w:val="00D058D2"/>
    <w:rsid w:val="00D125FB"/>
    <w:rsid w:val="00D14CE6"/>
    <w:rsid w:val="00D200D1"/>
    <w:rsid w:val="00D21121"/>
    <w:rsid w:val="00D21BF0"/>
    <w:rsid w:val="00D228E6"/>
    <w:rsid w:val="00D235EA"/>
    <w:rsid w:val="00D24785"/>
    <w:rsid w:val="00D25E8B"/>
    <w:rsid w:val="00D270E7"/>
    <w:rsid w:val="00D303B3"/>
    <w:rsid w:val="00D33902"/>
    <w:rsid w:val="00D35515"/>
    <w:rsid w:val="00D36040"/>
    <w:rsid w:val="00D363C3"/>
    <w:rsid w:val="00D37234"/>
    <w:rsid w:val="00D40A2D"/>
    <w:rsid w:val="00D441B2"/>
    <w:rsid w:val="00D51FFA"/>
    <w:rsid w:val="00D552C6"/>
    <w:rsid w:val="00D556C1"/>
    <w:rsid w:val="00D55813"/>
    <w:rsid w:val="00D60710"/>
    <w:rsid w:val="00D61794"/>
    <w:rsid w:val="00D61D49"/>
    <w:rsid w:val="00D675DF"/>
    <w:rsid w:val="00D74BF5"/>
    <w:rsid w:val="00D76031"/>
    <w:rsid w:val="00D76C5E"/>
    <w:rsid w:val="00D81A99"/>
    <w:rsid w:val="00D82339"/>
    <w:rsid w:val="00D87D5B"/>
    <w:rsid w:val="00D9112F"/>
    <w:rsid w:val="00D91856"/>
    <w:rsid w:val="00D91866"/>
    <w:rsid w:val="00D94D26"/>
    <w:rsid w:val="00D95809"/>
    <w:rsid w:val="00D97678"/>
    <w:rsid w:val="00DA0127"/>
    <w:rsid w:val="00DA2298"/>
    <w:rsid w:val="00DA3150"/>
    <w:rsid w:val="00DA337F"/>
    <w:rsid w:val="00DA4937"/>
    <w:rsid w:val="00DA4C67"/>
    <w:rsid w:val="00DA58C2"/>
    <w:rsid w:val="00DA65BD"/>
    <w:rsid w:val="00DA6F01"/>
    <w:rsid w:val="00DB057F"/>
    <w:rsid w:val="00DB21F9"/>
    <w:rsid w:val="00DB33CD"/>
    <w:rsid w:val="00DB75F4"/>
    <w:rsid w:val="00DC228B"/>
    <w:rsid w:val="00DC29FA"/>
    <w:rsid w:val="00DC4765"/>
    <w:rsid w:val="00DD1BB8"/>
    <w:rsid w:val="00DD1DE8"/>
    <w:rsid w:val="00DD4A33"/>
    <w:rsid w:val="00DD7872"/>
    <w:rsid w:val="00DE6B89"/>
    <w:rsid w:val="00DF2DE0"/>
    <w:rsid w:val="00DF3845"/>
    <w:rsid w:val="00DF46C5"/>
    <w:rsid w:val="00DF6073"/>
    <w:rsid w:val="00E03FEA"/>
    <w:rsid w:val="00E05836"/>
    <w:rsid w:val="00E123C2"/>
    <w:rsid w:val="00E135F7"/>
    <w:rsid w:val="00E16520"/>
    <w:rsid w:val="00E175E6"/>
    <w:rsid w:val="00E235B4"/>
    <w:rsid w:val="00E303A0"/>
    <w:rsid w:val="00E325DC"/>
    <w:rsid w:val="00E3260B"/>
    <w:rsid w:val="00E354FC"/>
    <w:rsid w:val="00E36175"/>
    <w:rsid w:val="00E36D5D"/>
    <w:rsid w:val="00E42C66"/>
    <w:rsid w:val="00E44061"/>
    <w:rsid w:val="00E5489B"/>
    <w:rsid w:val="00E606F8"/>
    <w:rsid w:val="00E60B56"/>
    <w:rsid w:val="00E61C87"/>
    <w:rsid w:val="00E61EF6"/>
    <w:rsid w:val="00E62564"/>
    <w:rsid w:val="00E71413"/>
    <w:rsid w:val="00E72197"/>
    <w:rsid w:val="00E76953"/>
    <w:rsid w:val="00E77367"/>
    <w:rsid w:val="00E77D20"/>
    <w:rsid w:val="00E81543"/>
    <w:rsid w:val="00E8471E"/>
    <w:rsid w:val="00E857E1"/>
    <w:rsid w:val="00E9114F"/>
    <w:rsid w:val="00E944ED"/>
    <w:rsid w:val="00E946E8"/>
    <w:rsid w:val="00E95569"/>
    <w:rsid w:val="00E96D46"/>
    <w:rsid w:val="00EA644E"/>
    <w:rsid w:val="00EB4975"/>
    <w:rsid w:val="00EB53C0"/>
    <w:rsid w:val="00EC00E7"/>
    <w:rsid w:val="00EC1A39"/>
    <w:rsid w:val="00EC295A"/>
    <w:rsid w:val="00EC56B6"/>
    <w:rsid w:val="00EC6375"/>
    <w:rsid w:val="00ED1BBC"/>
    <w:rsid w:val="00ED458F"/>
    <w:rsid w:val="00ED4756"/>
    <w:rsid w:val="00ED54F2"/>
    <w:rsid w:val="00EE0E34"/>
    <w:rsid w:val="00EE417C"/>
    <w:rsid w:val="00EE69BA"/>
    <w:rsid w:val="00EF3E9E"/>
    <w:rsid w:val="00EF3F25"/>
    <w:rsid w:val="00EF6C76"/>
    <w:rsid w:val="00EF7CDE"/>
    <w:rsid w:val="00F00533"/>
    <w:rsid w:val="00F025B4"/>
    <w:rsid w:val="00F032A7"/>
    <w:rsid w:val="00F06512"/>
    <w:rsid w:val="00F1393E"/>
    <w:rsid w:val="00F14919"/>
    <w:rsid w:val="00F14A63"/>
    <w:rsid w:val="00F24106"/>
    <w:rsid w:val="00F25CB5"/>
    <w:rsid w:val="00F30943"/>
    <w:rsid w:val="00F35B52"/>
    <w:rsid w:val="00F427BD"/>
    <w:rsid w:val="00F42EA8"/>
    <w:rsid w:val="00F441D6"/>
    <w:rsid w:val="00F473AE"/>
    <w:rsid w:val="00F475AF"/>
    <w:rsid w:val="00F516B7"/>
    <w:rsid w:val="00F535F6"/>
    <w:rsid w:val="00F54F56"/>
    <w:rsid w:val="00F6130D"/>
    <w:rsid w:val="00F62524"/>
    <w:rsid w:val="00F64645"/>
    <w:rsid w:val="00F67E93"/>
    <w:rsid w:val="00F72BE5"/>
    <w:rsid w:val="00F84DE1"/>
    <w:rsid w:val="00F86F1F"/>
    <w:rsid w:val="00F879BD"/>
    <w:rsid w:val="00F90441"/>
    <w:rsid w:val="00F94178"/>
    <w:rsid w:val="00F950BF"/>
    <w:rsid w:val="00F956C7"/>
    <w:rsid w:val="00FA3F50"/>
    <w:rsid w:val="00FA5C85"/>
    <w:rsid w:val="00FA6BD7"/>
    <w:rsid w:val="00FB246C"/>
    <w:rsid w:val="00FB2D72"/>
    <w:rsid w:val="00FB2DC8"/>
    <w:rsid w:val="00FB384F"/>
    <w:rsid w:val="00FB3A4D"/>
    <w:rsid w:val="00FB6072"/>
    <w:rsid w:val="00FB61B2"/>
    <w:rsid w:val="00FC07EF"/>
    <w:rsid w:val="00FC3F63"/>
    <w:rsid w:val="00FC54EA"/>
    <w:rsid w:val="00FC738D"/>
    <w:rsid w:val="00FD19C0"/>
    <w:rsid w:val="00FD2728"/>
    <w:rsid w:val="00FD2A6D"/>
    <w:rsid w:val="00FD59F2"/>
    <w:rsid w:val="00FD5A48"/>
    <w:rsid w:val="00FD67CF"/>
    <w:rsid w:val="00FE1335"/>
    <w:rsid w:val="00FE20E3"/>
    <w:rsid w:val="00FE493E"/>
    <w:rsid w:val="00FE4A1B"/>
    <w:rsid w:val="00FE546C"/>
    <w:rsid w:val="00FF007B"/>
    <w:rsid w:val="00FF0428"/>
    <w:rsid w:val="00FF615B"/>
    <w:rsid w:val="00FF7D8E"/>
    <w:rsid w:val="0CC6E6FC"/>
    <w:rsid w:val="15D43424"/>
    <w:rsid w:val="26C5F356"/>
    <w:rsid w:val="28A1D016"/>
    <w:rsid w:val="2FBF4A00"/>
    <w:rsid w:val="37DAD942"/>
    <w:rsid w:val="396A4BB9"/>
    <w:rsid w:val="3C566309"/>
    <w:rsid w:val="66269F44"/>
    <w:rsid w:val="708573A1"/>
    <w:rsid w:val="7F97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87D0E"/>
  <w15:chartTrackingRefBased/>
  <w15:docId w15:val="{7FAA18B6-A021-483B-8879-BA8180B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7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A81C77"/>
    <w:pPr>
      <w:outlineLvl w:val="0"/>
    </w:pPr>
    <w:rPr>
      <w:b w:val="0"/>
      <w:sz w:val="36"/>
    </w:rPr>
  </w:style>
  <w:style w:type="paragraph" w:styleId="Heading2">
    <w:name w:val="heading 2"/>
    <w:basedOn w:val="Normal"/>
    <w:next w:val="Normal"/>
    <w:link w:val="Heading2Char"/>
    <w:qFormat/>
    <w:rsid w:val="00A81C77"/>
    <w:pPr>
      <w:outlineLvl w:val="1"/>
    </w:pPr>
    <w:rPr>
      <w:rFonts w:ascii="Arial Black" w:hAnsi="Arial Black" w:cs="Arial"/>
      <w:b/>
      <w:bCs/>
      <w:sz w:val="32"/>
      <w:szCs w:val="32"/>
    </w:rPr>
  </w:style>
  <w:style w:type="paragraph" w:styleId="Heading3">
    <w:name w:val="heading 3"/>
    <w:basedOn w:val="Normal"/>
    <w:next w:val="Normal"/>
    <w:link w:val="Heading3Char"/>
    <w:qFormat/>
    <w:rsid w:val="00A81C77"/>
    <w:pPr>
      <w:ind w:left="720" w:hanging="720"/>
      <w:jc w:val="both"/>
      <w:outlineLvl w:val="2"/>
    </w:pPr>
    <w:rPr>
      <w:rFonts w:cs="Arial"/>
      <w:b/>
      <w:bCs/>
      <w:sz w:val="28"/>
      <w:szCs w:val="28"/>
    </w:rPr>
  </w:style>
  <w:style w:type="paragraph" w:styleId="Heading4">
    <w:name w:val="heading 4"/>
    <w:basedOn w:val="Normal"/>
    <w:next w:val="Normal"/>
    <w:link w:val="Heading4Char"/>
    <w:qFormat/>
    <w:rsid w:val="00A81C77"/>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C77"/>
    <w:rPr>
      <w:rFonts w:ascii="Arial Black" w:eastAsia="Times New Roman" w:hAnsi="Arial Black" w:cs="Arial"/>
      <w:bCs/>
      <w:sz w:val="36"/>
      <w:szCs w:val="32"/>
    </w:rPr>
  </w:style>
  <w:style w:type="character" w:customStyle="1" w:styleId="Heading2Char">
    <w:name w:val="Heading 2 Char"/>
    <w:basedOn w:val="DefaultParagraphFont"/>
    <w:link w:val="Heading2"/>
    <w:rsid w:val="00A81C77"/>
    <w:rPr>
      <w:rFonts w:ascii="Arial Black" w:eastAsia="Times New Roman" w:hAnsi="Arial Black" w:cs="Arial"/>
      <w:b/>
      <w:bCs/>
      <w:sz w:val="32"/>
      <w:szCs w:val="32"/>
    </w:rPr>
  </w:style>
  <w:style w:type="character" w:customStyle="1" w:styleId="Heading3Char">
    <w:name w:val="Heading 3 Char"/>
    <w:basedOn w:val="DefaultParagraphFont"/>
    <w:link w:val="Heading3"/>
    <w:rsid w:val="00A81C77"/>
    <w:rPr>
      <w:rFonts w:ascii="Arial" w:eastAsia="Times New Roman" w:hAnsi="Arial" w:cs="Arial"/>
      <w:b/>
      <w:bCs/>
      <w:sz w:val="28"/>
      <w:szCs w:val="28"/>
    </w:rPr>
  </w:style>
  <w:style w:type="character" w:customStyle="1" w:styleId="Heading4Char">
    <w:name w:val="Heading 4 Char"/>
    <w:basedOn w:val="DefaultParagraphFont"/>
    <w:link w:val="Heading4"/>
    <w:rsid w:val="00A81C77"/>
    <w:rPr>
      <w:rFonts w:ascii="Arial" w:eastAsia="Times New Roman" w:hAnsi="Arial" w:cs="Arial"/>
      <w:b/>
      <w:sz w:val="24"/>
      <w:szCs w:val="20"/>
    </w:rPr>
  </w:style>
  <w:style w:type="paragraph" w:styleId="Footer">
    <w:name w:val="footer"/>
    <w:basedOn w:val="Normal"/>
    <w:link w:val="FooterChar"/>
    <w:rsid w:val="00A81C77"/>
    <w:pPr>
      <w:tabs>
        <w:tab w:val="center" w:pos="4153"/>
        <w:tab w:val="right" w:pos="8306"/>
      </w:tabs>
    </w:pPr>
    <w:rPr>
      <w:szCs w:val="24"/>
      <w:lang w:val="en-US"/>
    </w:rPr>
  </w:style>
  <w:style w:type="character" w:customStyle="1" w:styleId="FooterChar">
    <w:name w:val="Footer Char"/>
    <w:basedOn w:val="DefaultParagraphFont"/>
    <w:link w:val="Footer"/>
    <w:rsid w:val="00A81C77"/>
    <w:rPr>
      <w:rFonts w:ascii="Arial" w:eastAsia="Times New Roman" w:hAnsi="Arial" w:cs="Times New Roman"/>
      <w:sz w:val="24"/>
      <w:szCs w:val="24"/>
      <w:lang w:val="en-US"/>
    </w:rPr>
  </w:style>
  <w:style w:type="paragraph" w:customStyle="1" w:styleId="Infotext">
    <w:name w:val="Info text"/>
    <w:basedOn w:val="Normal"/>
    <w:rsid w:val="00A81C77"/>
    <w:rPr>
      <w:sz w:val="28"/>
    </w:rPr>
  </w:style>
  <w:style w:type="paragraph" w:styleId="Header">
    <w:name w:val="header"/>
    <w:basedOn w:val="Normal"/>
    <w:link w:val="HeaderChar"/>
    <w:rsid w:val="00A81C77"/>
    <w:pPr>
      <w:tabs>
        <w:tab w:val="center" w:pos="4153"/>
        <w:tab w:val="right" w:pos="8306"/>
      </w:tabs>
    </w:pPr>
  </w:style>
  <w:style w:type="character" w:customStyle="1" w:styleId="HeaderChar">
    <w:name w:val="Header Char"/>
    <w:basedOn w:val="DefaultParagraphFont"/>
    <w:link w:val="Header"/>
    <w:rsid w:val="00A81C77"/>
    <w:rPr>
      <w:rFonts w:ascii="Arial" w:eastAsia="Times New Roman" w:hAnsi="Arial" w:cs="Times New Roman"/>
      <w:sz w:val="24"/>
      <w:szCs w:val="20"/>
    </w:rPr>
  </w:style>
  <w:style w:type="character" w:styleId="Hyperlink">
    <w:name w:val="Hyperlink"/>
    <w:rsid w:val="00A81C77"/>
    <w:rPr>
      <w:color w:val="0000FF"/>
      <w:u w:val="single"/>
    </w:rPr>
  </w:style>
  <w:style w:type="paragraph" w:styleId="ListParagraph">
    <w:name w:val="List Paragraph"/>
    <w:basedOn w:val="Normal"/>
    <w:link w:val="ListParagraphChar"/>
    <w:uiPriority w:val="34"/>
    <w:qFormat/>
    <w:rsid w:val="00A81C77"/>
    <w:pPr>
      <w:ind w:left="720"/>
    </w:pPr>
  </w:style>
  <w:style w:type="table" w:customStyle="1" w:styleId="Style1">
    <w:name w:val="Style1"/>
    <w:basedOn w:val="TableNormal"/>
    <w:uiPriority w:val="99"/>
    <w:rsid w:val="00A81C7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customStyle="1" w:styleId="paragraph">
    <w:name w:val="paragraph"/>
    <w:basedOn w:val="Normal"/>
    <w:rsid w:val="00A81C7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81C77"/>
  </w:style>
  <w:style w:type="character" w:customStyle="1" w:styleId="eop">
    <w:name w:val="eop"/>
    <w:basedOn w:val="DefaultParagraphFont"/>
    <w:rsid w:val="00A81C77"/>
  </w:style>
  <w:style w:type="paragraph" w:customStyle="1" w:styleId="StyleListParagraphBold">
    <w:name w:val="Style List Paragraph + Bold"/>
    <w:basedOn w:val="ListParagraph"/>
    <w:rsid w:val="00A81C77"/>
    <w:rPr>
      <w:rFonts w:eastAsia="Calibri" w:cs="Arial"/>
      <w:b/>
      <w:bCs/>
      <w:color w:val="000000"/>
      <w:szCs w:val="22"/>
      <w:lang w:eastAsia="en-GB"/>
    </w:rPr>
  </w:style>
  <w:style w:type="table" w:styleId="TableGrid">
    <w:name w:val="Table Grid"/>
    <w:basedOn w:val="TableNormal"/>
    <w:rsid w:val="00C92A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69BA"/>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7227E"/>
    <w:rPr>
      <w:sz w:val="16"/>
      <w:szCs w:val="16"/>
    </w:rPr>
  </w:style>
  <w:style w:type="paragraph" w:styleId="CommentText">
    <w:name w:val="annotation text"/>
    <w:basedOn w:val="Normal"/>
    <w:link w:val="CommentTextChar"/>
    <w:uiPriority w:val="99"/>
    <w:unhideWhenUsed/>
    <w:rsid w:val="0017227E"/>
    <w:rPr>
      <w:sz w:val="20"/>
    </w:rPr>
  </w:style>
  <w:style w:type="character" w:customStyle="1" w:styleId="CommentTextChar">
    <w:name w:val="Comment Text Char"/>
    <w:basedOn w:val="DefaultParagraphFont"/>
    <w:link w:val="CommentText"/>
    <w:uiPriority w:val="99"/>
    <w:rsid w:val="001722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227E"/>
    <w:rPr>
      <w:b/>
      <w:bCs/>
    </w:rPr>
  </w:style>
  <w:style w:type="character" w:customStyle="1" w:styleId="CommentSubjectChar">
    <w:name w:val="Comment Subject Char"/>
    <w:basedOn w:val="CommentTextChar"/>
    <w:link w:val="CommentSubject"/>
    <w:uiPriority w:val="99"/>
    <w:semiHidden/>
    <w:rsid w:val="0017227E"/>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02D84"/>
    <w:rPr>
      <w:color w:val="605E5C"/>
      <w:shd w:val="clear" w:color="auto" w:fill="E1DFDD"/>
    </w:rPr>
  </w:style>
  <w:style w:type="paragraph" w:styleId="BodyText">
    <w:name w:val="Body Text"/>
    <w:basedOn w:val="Normal"/>
    <w:link w:val="BodyTextChar"/>
    <w:rsid w:val="007231DB"/>
    <w:rPr>
      <w:rFonts w:cs="Arial"/>
      <w:i/>
      <w:iCs/>
    </w:rPr>
  </w:style>
  <w:style w:type="character" w:customStyle="1" w:styleId="BodyTextChar">
    <w:name w:val="Body Text Char"/>
    <w:basedOn w:val="DefaultParagraphFont"/>
    <w:link w:val="BodyText"/>
    <w:rsid w:val="007231DB"/>
    <w:rPr>
      <w:rFonts w:ascii="Arial" w:eastAsia="Times New Roman" w:hAnsi="Arial" w:cs="Arial"/>
      <w:i/>
      <w:iCs/>
      <w:sz w:val="24"/>
      <w:szCs w:val="20"/>
    </w:rPr>
  </w:style>
  <w:style w:type="paragraph" w:customStyle="1" w:styleId="Default">
    <w:name w:val="Default"/>
    <w:rsid w:val="006F40C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D7C3C"/>
    <w:rPr>
      <w:rFonts w:ascii="Arial" w:eastAsia="Times New Roman" w:hAnsi="Arial" w:cs="Times New Roman"/>
      <w:sz w:val="24"/>
      <w:szCs w:val="20"/>
    </w:rPr>
  </w:style>
  <w:style w:type="paragraph" w:customStyle="1" w:styleId="Sub2Textlist">
    <w:name w:val="Sub 2 Text list"/>
    <w:basedOn w:val="ListParagraph"/>
    <w:link w:val="Sub2TextlistChar"/>
    <w:qFormat/>
    <w:rsid w:val="00AD7C3C"/>
    <w:pPr>
      <w:widowControl w:val="0"/>
      <w:tabs>
        <w:tab w:val="left" w:pos="993"/>
        <w:tab w:val="left" w:pos="3119"/>
        <w:tab w:val="left" w:pos="3686"/>
        <w:tab w:val="left" w:pos="4253"/>
      </w:tabs>
      <w:adjustRightInd w:val="0"/>
      <w:spacing w:before="240" w:after="240"/>
      <w:ind w:left="993" w:hanging="709"/>
      <w:textAlignment w:val="baseline"/>
      <w:outlineLvl w:val="1"/>
    </w:pPr>
    <w:rPr>
      <w:rFonts w:cs="Arial"/>
      <w:szCs w:val="24"/>
    </w:rPr>
  </w:style>
  <w:style w:type="character" w:customStyle="1" w:styleId="Sub2TextlistChar">
    <w:name w:val="Sub 2 Text list Char"/>
    <w:basedOn w:val="DefaultParagraphFont"/>
    <w:link w:val="Sub2Textlist"/>
    <w:rsid w:val="00AD7C3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0933">
      <w:bodyDiv w:val="1"/>
      <w:marLeft w:val="0"/>
      <w:marRight w:val="0"/>
      <w:marTop w:val="0"/>
      <w:marBottom w:val="0"/>
      <w:divBdr>
        <w:top w:val="none" w:sz="0" w:space="0" w:color="auto"/>
        <w:left w:val="none" w:sz="0" w:space="0" w:color="auto"/>
        <w:bottom w:val="none" w:sz="0" w:space="0" w:color="auto"/>
        <w:right w:val="none" w:sz="0" w:space="0" w:color="auto"/>
      </w:divBdr>
    </w:div>
    <w:div w:id="1510682437">
      <w:bodyDiv w:val="1"/>
      <w:marLeft w:val="0"/>
      <w:marRight w:val="0"/>
      <w:marTop w:val="0"/>
      <w:marBottom w:val="0"/>
      <w:divBdr>
        <w:top w:val="none" w:sz="0" w:space="0" w:color="auto"/>
        <w:left w:val="none" w:sz="0" w:space="0" w:color="auto"/>
        <w:bottom w:val="none" w:sz="0" w:space="0" w:color="auto"/>
        <w:right w:val="none" w:sz="0" w:space="0" w:color="auto"/>
      </w:divBdr>
    </w:div>
    <w:div w:id="1748117137">
      <w:bodyDiv w:val="1"/>
      <w:marLeft w:val="0"/>
      <w:marRight w:val="0"/>
      <w:marTop w:val="0"/>
      <w:marBottom w:val="0"/>
      <w:divBdr>
        <w:top w:val="none" w:sz="0" w:space="0" w:color="auto"/>
        <w:left w:val="none" w:sz="0" w:space="0" w:color="auto"/>
        <w:bottom w:val="none" w:sz="0" w:space="0" w:color="auto"/>
        <w:right w:val="none" w:sz="0" w:space="0" w:color="auto"/>
      </w:divBdr>
    </w:div>
    <w:div w:id="20119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lton.cenac@harrow.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CharactersWithSpaces>
  <SharedDoc>false</SharedDoc>
  <HLinks>
    <vt:vector size="6" baseType="variant">
      <vt:variant>
        <vt:i4>7274565</vt:i4>
      </vt:variant>
      <vt:variant>
        <vt:i4>0</vt:i4>
      </vt:variant>
      <vt:variant>
        <vt:i4>0</vt:i4>
      </vt:variant>
      <vt:variant>
        <vt:i4>5</vt:i4>
      </vt:variant>
      <vt:variant>
        <vt:lpwstr>mailto:dalton.cenac@harrow.gov.uk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Fosu</dc:creator>
  <cp:keywords/>
  <dc:description/>
  <cp:lastModifiedBy>Dalton Cenac</cp:lastModifiedBy>
  <cp:revision>6</cp:revision>
  <dcterms:created xsi:type="dcterms:W3CDTF">2023-07-19T14:42:00Z</dcterms:created>
  <dcterms:modified xsi:type="dcterms:W3CDTF">2023-07-19T14:45:00Z</dcterms:modified>
</cp:coreProperties>
</file>